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DAB14">
      <w:pPr>
        <w:keepNext/>
        <w:keepLines/>
        <w:spacing w:before="312" w:beforeLines="100" w:after="312" w:afterLines="100" w:line="640" w:lineRule="exact"/>
        <w:jc w:val="center"/>
        <w:outlineLvl w:val="0"/>
        <w:rPr>
          <w:rFonts w:ascii="Times New Roman" w:hAnsi="Times New Roman" w:eastAsia="方正小标宋简体" w:cs="Times New Roman"/>
          <w:sz w:val="24"/>
          <w:szCs w:val="24"/>
        </w:rPr>
      </w:pPr>
      <w:r>
        <w:rPr>
          <w:rFonts w:ascii="Times New Roman" w:hAnsi="Times New Roman" w:eastAsia="方正小标宋简体" w:cs="Times New Roman"/>
          <w:sz w:val="24"/>
          <w:szCs w:val="24"/>
        </w:rPr>
        <w:t>医疗器械警戒计划撰写指南（</w:t>
      </w:r>
      <w:r>
        <w:rPr>
          <w:rFonts w:hint="eastAsia" w:ascii="Times New Roman" w:hAnsi="Times New Roman" w:eastAsia="方正小标宋简体" w:cs="Times New Roman"/>
          <w:sz w:val="24"/>
          <w:szCs w:val="24"/>
        </w:rPr>
        <w:t>试行</w:t>
      </w:r>
      <w:r>
        <w:rPr>
          <w:rFonts w:ascii="Times New Roman" w:hAnsi="Times New Roman" w:eastAsia="方正小标宋简体" w:cs="Times New Roman"/>
          <w:sz w:val="24"/>
          <w:szCs w:val="24"/>
        </w:rPr>
        <w:t>）</w:t>
      </w:r>
    </w:p>
    <w:p w14:paraId="7D56A9E5">
      <w:pPr>
        <w:keepNext/>
        <w:keepLines/>
        <w:spacing w:line="540" w:lineRule="exact"/>
        <w:ind w:firstLine="480" w:firstLineChars="200"/>
        <w:outlineLvl w:val="0"/>
        <w:rPr>
          <w:rFonts w:ascii="Times New Roman" w:hAnsi="Times New Roman" w:eastAsia="黑体" w:cs="Times New Roman"/>
          <w:bCs/>
          <w:sz w:val="24"/>
          <w:szCs w:val="24"/>
        </w:rPr>
      </w:pPr>
      <w:bookmarkStart w:id="0" w:name="_Toc1140"/>
      <w:bookmarkStart w:id="1" w:name="_Toc8382"/>
      <w:r>
        <w:rPr>
          <w:rFonts w:ascii="Times New Roman" w:hAnsi="Times New Roman" w:eastAsia="黑体" w:cs="Times New Roman"/>
          <w:bCs/>
          <w:sz w:val="24"/>
          <w:szCs w:val="24"/>
        </w:rPr>
        <w:t>一、前言</w:t>
      </w:r>
      <w:bookmarkStart w:id="12" w:name="_GoBack"/>
      <w:bookmarkEnd w:id="12"/>
    </w:p>
    <w:p w14:paraId="02693ADA">
      <w:pPr>
        <w:spacing w:line="54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医疗器械注册人、备案人或境外医疗器械注册人、备案人指定的境内企业法人（以下简称“进口医疗器械境内责任人”）应当按照《医疗器械警戒质量管理规范》相关要求，在产品上市后制定医疗器械警戒计划。</w:t>
      </w:r>
    </w:p>
    <w:p w14:paraId="1CA5246D">
      <w:pPr>
        <w:spacing w:line="54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指南不具备法律效力，仅作为指南性文件，旨在指导注册人、备案人或进口医疗器械境内责任人撰写医疗器械警戒计划，开展数据收集，进行风险识别、评估和控制等警戒活动。本指南是在现行法规和标准以及当前认知水平下制定的，随着法规和标准的不断完善，以及科学技术的不断发展，本指南的相关内容也将进行适时的调整。</w:t>
      </w:r>
    </w:p>
    <w:p w14:paraId="2E0374AD">
      <w:pPr>
        <w:keepNext/>
        <w:keepLines/>
        <w:spacing w:line="540" w:lineRule="exact"/>
        <w:ind w:firstLine="480" w:firstLineChars="200"/>
        <w:outlineLvl w:val="1"/>
        <w:rPr>
          <w:rFonts w:ascii="Times New Roman" w:hAnsi="Times New Roman" w:eastAsia="黑体" w:cs="Times New Roman"/>
          <w:sz w:val="24"/>
          <w:szCs w:val="24"/>
        </w:rPr>
      </w:pPr>
      <w:r>
        <w:rPr>
          <w:rFonts w:ascii="Times New Roman" w:hAnsi="Times New Roman" w:eastAsia="黑体" w:cs="Times New Roman"/>
          <w:sz w:val="24"/>
          <w:szCs w:val="24"/>
        </w:rPr>
        <w:t>二、基本要求</w:t>
      </w:r>
      <w:bookmarkEnd w:id="0"/>
    </w:p>
    <w:p w14:paraId="7CB1BF49">
      <w:pPr>
        <w:spacing w:line="540" w:lineRule="exact"/>
        <w:ind w:firstLine="480" w:firstLineChars="200"/>
        <w:rPr>
          <w:rFonts w:ascii="Times New Roman" w:hAnsi="Times New Roman" w:eastAsia="仿宋" w:cs="Times New Roman"/>
          <w:sz w:val="24"/>
          <w:szCs w:val="24"/>
        </w:rPr>
      </w:pPr>
      <w:bookmarkStart w:id="2" w:name="_Toc13472"/>
      <w:r>
        <w:rPr>
          <w:rFonts w:ascii="Times New Roman" w:hAnsi="Times New Roman" w:eastAsia="仿宋" w:cs="Times New Roman"/>
          <w:sz w:val="24"/>
          <w:szCs w:val="24"/>
        </w:rPr>
        <w:t>（一）医疗器械警戒计划作为警戒体系的重要文件，应当符合风险管理的要求，内容包括产品范围、警戒目标、数据收集、风险分析、风险控制、警戒报告、和计划的评审等。</w:t>
      </w:r>
    </w:p>
    <w:p w14:paraId="65FDC8E3">
      <w:pPr>
        <w:spacing w:line="54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（二）医疗器械</w:t>
      </w:r>
      <w:bookmarkEnd w:id="2"/>
      <w:r>
        <w:rPr>
          <w:rFonts w:ascii="Times New Roman" w:hAnsi="Times New Roman" w:eastAsia="仿宋" w:cs="Times New Roman"/>
          <w:sz w:val="24"/>
          <w:szCs w:val="24"/>
        </w:rPr>
        <w:t>警戒计划应当明确警戒数据收集范围，根据产品风险特征，明确风险评估方法，及时采取控制措施，有效开展警戒活动。</w:t>
      </w:r>
    </w:p>
    <w:p w14:paraId="0B752DB8">
      <w:pPr>
        <w:spacing w:line="54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三）注册人、备案人或进口医疗器械境内责任人应根据产品风险特征，在医疗器械警戒计划中明确是否需要开展主动监测，是否需要开展同类产品风险信息检索，是否定期开展风险识别等，并按计划开展相关警戒活动。</w:t>
      </w:r>
      <w:bookmarkEnd w:id="1"/>
      <w:bookmarkStart w:id="3" w:name="_Toc922"/>
    </w:p>
    <w:p w14:paraId="018CD55C">
      <w:pPr>
        <w:keepNext/>
        <w:keepLines/>
        <w:spacing w:line="540" w:lineRule="exact"/>
        <w:ind w:firstLine="480" w:firstLineChars="200"/>
        <w:outlineLvl w:val="2"/>
        <w:rPr>
          <w:rFonts w:ascii="Times New Roman" w:hAnsi="Times New Roman" w:eastAsia="黑体" w:cs="Times New Roman"/>
          <w:sz w:val="24"/>
          <w:szCs w:val="24"/>
        </w:rPr>
      </w:pPr>
      <w:r>
        <w:rPr>
          <w:rFonts w:ascii="Times New Roman" w:hAnsi="Times New Roman" w:eastAsia="黑体" w:cs="Times New Roman"/>
          <w:sz w:val="24"/>
          <w:szCs w:val="24"/>
        </w:rPr>
        <w:t>三、主要内容</w:t>
      </w:r>
      <w:bookmarkEnd w:id="3"/>
    </w:p>
    <w:p w14:paraId="45B2398D">
      <w:pPr>
        <w:keepNext/>
        <w:keepLines/>
        <w:spacing w:line="540" w:lineRule="exact"/>
        <w:ind w:firstLine="240" w:firstLineChars="100"/>
        <w:outlineLvl w:val="2"/>
        <w:rPr>
          <w:rFonts w:ascii="Times New Roman" w:hAnsi="Times New Roman" w:eastAsia="楷体" w:cs="Times New Roman"/>
          <w:sz w:val="24"/>
          <w:szCs w:val="24"/>
        </w:rPr>
      </w:pPr>
      <w:r>
        <w:rPr>
          <w:rFonts w:ascii="Times New Roman" w:hAnsi="Times New Roman" w:eastAsia="楷体" w:cs="Times New Roman"/>
          <w:sz w:val="24"/>
          <w:szCs w:val="24"/>
        </w:rPr>
        <w:t>（一）产品范围</w:t>
      </w:r>
    </w:p>
    <w:p w14:paraId="3BA90663">
      <w:pPr>
        <w:spacing w:line="54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概述警戒计划涵盖的产品范围（表1为参考模板，可结合产品特点对项目进行增加和完善，后续表同），比如产品系列及配套使用的附件，产品结构原理，预期使用场所，目标患者人群，操作者必要资质，获得上市许可的主要国家和地区等。</w:t>
      </w:r>
    </w:p>
    <w:p w14:paraId="056B7618">
      <w:pPr>
        <w:spacing w:line="54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表1 警戒计划范围及目标</w:t>
      </w:r>
    </w:p>
    <w:tbl>
      <w:tblPr>
        <w:tblStyle w:val="11"/>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699"/>
        <w:gridCol w:w="711"/>
        <w:gridCol w:w="707"/>
        <w:gridCol w:w="709"/>
        <w:gridCol w:w="2126"/>
        <w:gridCol w:w="1134"/>
        <w:gridCol w:w="979"/>
      </w:tblGrid>
      <w:tr w14:paraId="1081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76" w:type="dxa"/>
            <w:vAlign w:val="center"/>
          </w:tcPr>
          <w:p w14:paraId="559D9596">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序号</w:t>
            </w:r>
          </w:p>
        </w:tc>
        <w:tc>
          <w:tcPr>
            <w:tcW w:w="1699" w:type="dxa"/>
            <w:vAlign w:val="center"/>
          </w:tcPr>
          <w:p w14:paraId="618BB180">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产品名称</w:t>
            </w:r>
          </w:p>
          <w:p w14:paraId="53E0BE7E">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（注册证编号）</w:t>
            </w:r>
          </w:p>
        </w:tc>
        <w:tc>
          <w:tcPr>
            <w:tcW w:w="711" w:type="dxa"/>
            <w:vAlign w:val="center"/>
          </w:tcPr>
          <w:p w14:paraId="143FB6B1">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管理类别</w:t>
            </w:r>
          </w:p>
        </w:tc>
        <w:tc>
          <w:tcPr>
            <w:tcW w:w="707" w:type="dxa"/>
            <w:vAlign w:val="center"/>
          </w:tcPr>
          <w:p w14:paraId="145FB75A">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分类目录</w:t>
            </w:r>
          </w:p>
        </w:tc>
        <w:tc>
          <w:tcPr>
            <w:tcW w:w="709" w:type="dxa"/>
            <w:vAlign w:val="center"/>
          </w:tcPr>
          <w:p w14:paraId="25228F3F">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预期用途</w:t>
            </w:r>
          </w:p>
        </w:tc>
        <w:tc>
          <w:tcPr>
            <w:tcW w:w="2126" w:type="dxa"/>
            <w:vAlign w:val="center"/>
          </w:tcPr>
          <w:p w14:paraId="00B4D711">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注册状态</w:t>
            </w:r>
          </w:p>
          <w:p w14:paraId="2CB68606">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（首次/延续/注销）</w:t>
            </w:r>
          </w:p>
        </w:tc>
        <w:tc>
          <w:tcPr>
            <w:tcW w:w="1134" w:type="dxa"/>
            <w:vAlign w:val="center"/>
          </w:tcPr>
          <w:p w14:paraId="2A253064">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警戒目标</w:t>
            </w:r>
          </w:p>
        </w:tc>
        <w:tc>
          <w:tcPr>
            <w:tcW w:w="979" w:type="dxa"/>
            <w:vAlign w:val="center"/>
          </w:tcPr>
          <w:p w14:paraId="1009238D">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备注</w:t>
            </w:r>
          </w:p>
        </w:tc>
      </w:tr>
      <w:tr w14:paraId="5CCA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35B0D33F">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699" w:type="dxa"/>
            <w:vAlign w:val="center"/>
          </w:tcPr>
          <w:p w14:paraId="5F8FA622">
            <w:pPr>
              <w:jc w:val="center"/>
              <w:rPr>
                <w:rFonts w:ascii="Times New Roman" w:hAnsi="Times New Roman" w:eastAsia="仿宋_GB2312" w:cs="Times New Roman"/>
                <w:kern w:val="0"/>
                <w:sz w:val="24"/>
                <w:szCs w:val="24"/>
              </w:rPr>
            </w:pPr>
          </w:p>
        </w:tc>
        <w:tc>
          <w:tcPr>
            <w:tcW w:w="711" w:type="dxa"/>
            <w:vAlign w:val="center"/>
          </w:tcPr>
          <w:p w14:paraId="121B745F">
            <w:pPr>
              <w:jc w:val="center"/>
              <w:rPr>
                <w:rFonts w:ascii="Times New Roman" w:hAnsi="Times New Roman" w:eastAsia="仿宋_GB2312" w:cs="Times New Roman"/>
                <w:kern w:val="0"/>
                <w:sz w:val="24"/>
                <w:szCs w:val="24"/>
              </w:rPr>
            </w:pPr>
          </w:p>
        </w:tc>
        <w:tc>
          <w:tcPr>
            <w:tcW w:w="707" w:type="dxa"/>
            <w:vAlign w:val="center"/>
          </w:tcPr>
          <w:p w14:paraId="343995C9">
            <w:pPr>
              <w:jc w:val="center"/>
              <w:rPr>
                <w:rFonts w:ascii="Times New Roman" w:hAnsi="Times New Roman" w:eastAsia="仿宋_GB2312" w:cs="Times New Roman"/>
                <w:kern w:val="0"/>
                <w:sz w:val="24"/>
                <w:szCs w:val="24"/>
              </w:rPr>
            </w:pPr>
          </w:p>
        </w:tc>
        <w:tc>
          <w:tcPr>
            <w:tcW w:w="709" w:type="dxa"/>
            <w:vAlign w:val="center"/>
          </w:tcPr>
          <w:p w14:paraId="4EAC3260">
            <w:pPr>
              <w:jc w:val="center"/>
              <w:rPr>
                <w:rFonts w:ascii="Times New Roman" w:hAnsi="Times New Roman" w:eastAsia="仿宋_GB2312" w:cs="Times New Roman"/>
                <w:kern w:val="0"/>
                <w:sz w:val="24"/>
                <w:szCs w:val="24"/>
              </w:rPr>
            </w:pPr>
          </w:p>
        </w:tc>
        <w:tc>
          <w:tcPr>
            <w:tcW w:w="2126" w:type="dxa"/>
            <w:vAlign w:val="center"/>
          </w:tcPr>
          <w:p w14:paraId="76A60516">
            <w:pPr>
              <w:jc w:val="center"/>
              <w:rPr>
                <w:rFonts w:ascii="Times New Roman" w:hAnsi="Times New Roman" w:eastAsia="仿宋_GB2312" w:cs="Times New Roman"/>
                <w:kern w:val="0"/>
                <w:sz w:val="24"/>
                <w:szCs w:val="24"/>
              </w:rPr>
            </w:pPr>
          </w:p>
        </w:tc>
        <w:tc>
          <w:tcPr>
            <w:tcW w:w="1134" w:type="dxa"/>
            <w:vAlign w:val="center"/>
          </w:tcPr>
          <w:p w14:paraId="26000B83">
            <w:pPr>
              <w:jc w:val="center"/>
              <w:rPr>
                <w:rFonts w:ascii="Times New Roman" w:hAnsi="Times New Roman" w:eastAsia="仿宋_GB2312" w:cs="Times New Roman"/>
                <w:kern w:val="0"/>
                <w:sz w:val="24"/>
                <w:szCs w:val="24"/>
              </w:rPr>
            </w:pPr>
          </w:p>
        </w:tc>
        <w:tc>
          <w:tcPr>
            <w:tcW w:w="979" w:type="dxa"/>
            <w:vAlign w:val="center"/>
          </w:tcPr>
          <w:p w14:paraId="28C5CD60">
            <w:pPr>
              <w:jc w:val="center"/>
              <w:rPr>
                <w:rFonts w:ascii="Times New Roman" w:hAnsi="Times New Roman" w:eastAsia="仿宋_GB2312" w:cs="Times New Roman"/>
                <w:kern w:val="0"/>
                <w:sz w:val="24"/>
                <w:szCs w:val="24"/>
              </w:rPr>
            </w:pPr>
          </w:p>
        </w:tc>
      </w:tr>
      <w:tr w14:paraId="551D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1F6CB3C">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699" w:type="dxa"/>
            <w:vAlign w:val="center"/>
          </w:tcPr>
          <w:p w14:paraId="08D82A83">
            <w:pPr>
              <w:jc w:val="center"/>
              <w:rPr>
                <w:rFonts w:ascii="Times New Roman" w:hAnsi="Times New Roman" w:eastAsia="仿宋_GB2312" w:cs="Times New Roman"/>
                <w:kern w:val="0"/>
                <w:sz w:val="24"/>
                <w:szCs w:val="24"/>
              </w:rPr>
            </w:pPr>
          </w:p>
        </w:tc>
        <w:tc>
          <w:tcPr>
            <w:tcW w:w="711" w:type="dxa"/>
            <w:vAlign w:val="center"/>
          </w:tcPr>
          <w:p w14:paraId="7CA9E4C5">
            <w:pPr>
              <w:jc w:val="center"/>
              <w:rPr>
                <w:rFonts w:ascii="Times New Roman" w:hAnsi="Times New Roman" w:eastAsia="仿宋_GB2312" w:cs="Times New Roman"/>
                <w:kern w:val="0"/>
                <w:sz w:val="24"/>
                <w:szCs w:val="24"/>
              </w:rPr>
            </w:pPr>
          </w:p>
        </w:tc>
        <w:tc>
          <w:tcPr>
            <w:tcW w:w="707" w:type="dxa"/>
            <w:vAlign w:val="center"/>
          </w:tcPr>
          <w:p w14:paraId="207F8430">
            <w:pPr>
              <w:jc w:val="center"/>
              <w:rPr>
                <w:rFonts w:ascii="Times New Roman" w:hAnsi="Times New Roman" w:eastAsia="仿宋_GB2312" w:cs="Times New Roman"/>
                <w:kern w:val="0"/>
                <w:sz w:val="24"/>
                <w:szCs w:val="24"/>
              </w:rPr>
            </w:pPr>
          </w:p>
        </w:tc>
        <w:tc>
          <w:tcPr>
            <w:tcW w:w="709" w:type="dxa"/>
            <w:vAlign w:val="center"/>
          </w:tcPr>
          <w:p w14:paraId="4E7EDD8E">
            <w:pPr>
              <w:jc w:val="center"/>
              <w:rPr>
                <w:rFonts w:ascii="Times New Roman" w:hAnsi="Times New Roman" w:eastAsia="仿宋_GB2312" w:cs="Times New Roman"/>
                <w:kern w:val="0"/>
                <w:sz w:val="24"/>
                <w:szCs w:val="24"/>
              </w:rPr>
            </w:pPr>
          </w:p>
        </w:tc>
        <w:tc>
          <w:tcPr>
            <w:tcW w:w="2126" w:type="dxa"/>
            <w:vAlign w:val="center"/>
          </w:tcPr>
          <w:p w14:paraId="5A758D26">
            <w:pPr>
              <w:jc w:val="center"/>
              <w:rPr>
                <w:rFonts w:ascii="Times New Roman" w:hAnsi="Times New Roman" w:eastAsia="仿宋_GB2312" w:cs="Times New Roman"/>
                <w:kern w:val="0"/>
                <w:sz w:val="24"/>
                <w:szCs w:val="24"/>
              </w:rPr>
            </w:pPr>
          </w:p>
        </w:tc>
        <w:tc>
          <w:tcPr>
            <w:tcW w:w="1134" w:type="dxa"/>
            <w:vAlign w:val="center"/>
          </w:tcPr>
          <w:p w14:paraId="4166DA23">
            <w:pPr>
              <w:jc w:val="center"/>
              <w:rPr>
                <w:rFonts w:ascii="Times New Roman" w:hAnsi="Times New Roman" w:eastAsia="仿宋_GB2312" w:cs="Times New Roman"/>
                <w:kern w:val="0"/>
                <w:sz w:val="24"/>
                <w:szCs w:val="24"/>
              </w:rPr>
            </w:pPr>
          </w:p>
        </w:tc>
        <w:tc>
          <w:tcPr>
            <w:tcW w:w="979" w:type="dxa"/>
            <w:vAlign w:val="center"/>
          </w:tcPr>
          <w:p w14:paraId="5AC479A9">
            <w:pPr>
              <w:jc w:val="center"/>
              <w:rPr>
                <w:rFonts w:ascii="Times New Roman" w:hAnsi="Times New Roman" w:eastAsia="仿宋_GB2312" w:cs="Times New Roman"/>
                <w:kern w:val="0"/>
                <w:sz w:val="24"/>
                <w:szCs w:val="24"/>
              </w:rPr>
            </w:pPr>
          </w:p>
        </w:tc>
      </w:tr>
      <w:tr w14:paraId="6186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361D7AD1">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99" w:type="dxa"/>
            <w:vAlign w:val="center"/>
          </w:tcPr>
          <w:p w14:paraId="788D30D8">
            <w:pPr>
              <w:jc w:val="center"/>
              <w:rPr>
                <w:rFonts w:ascii="Times New Roman" w:hAnsi="Times New Roman" w:eastAsia="仿宋_GB2312" w:cs="Times New Roman"/>
                <w:kern w:val="0"/>
                <w:sz w:val="24"/>
                <w:szCs w:val="24"/>
              </w:rPr>
            </w:pPr>
          </w:p>
        </w:tc>
        <w:tc>
          <w:tcPr>
            <w:tcW w:w="711" w:type="dxa"/>
            <w:vAlign w:val="center"/>
          </w:tcPr>
          <w:p w14:paraId="2B6D3964">
            <w:pPr>
              <w:jc w:val="center"/>
              <w:rPr>
                <w:rFonts w:ascii="Times New Roman" w:hAnsi="Times New Roman" w:eastAsia="仿宋_GB2312" w:cs="Times New Roman"/>
                <w:kern w:val="0"/>
                <w:sz w:val="24"/>
                <w:szCs w:val="24"/>
              </w:rPr>
            </w:pPr>
          </w:p>
        </w:tc>
        <w:tc>
          <w:tcPr>
            <w:tcW w:w="707" w:type="dxa"/>
            <w:vAlign w:val="center"/>
          </w:tcPr>
          <w:p w14:paraId="3DE8E228">
            <w:pPr>
              <w:jc w:val="center"/>
              <w:rPr>
                <w:rFonts w:ascii="Times New Roman" w:hAnsi="Times New Roman" w:eastAsia="仿宋_GB2312" w:cs="Times New Roman"/>
                <w:kern w:val="0"/>
                <w:sz w:val="24"/>
                <w:szCs w:val="24"/>
              </w:rPr>
            </w:pPr>
          </w:p>
        </w:tc>
        <w:tc>
          <w:tcPr>
            <w:tcW w:w="709" w:type="dxa"/>
            <w:vAlign w:val="center"/>
          </w:tcPr>
          <w:p w14:paraId="76782097">
            <w:pPr>
              <w:jc w:val="center"/>
              <w:rPr>
                <w:rFonts w:ascii="Times New Roman" w:hAnsi="Times New Roman" w:eastAsia="仿宋_GB2312" w:cs="Times New Roman"/>
                <w:kern w:val="0"/>
                <w:sz w:val="24"/>
                <w:szCs w:val="24"/>
              </w:rPr>
            </w:pPr>
          </w:p>
        </w:tc>
        <w:tc>
          <w:tcPr>
            <w:tcW w:w="2126" w:type="dxa"/>
            <w:vAlign w:val="center"/>
          </w:tcPr>
          <w:p w14:paraId="138F4960">
            <w:pPr>
              <w:jc w:val="center"/>
              <w:rPr>
                <w:rFonts w:ascii="Times New Roman" w:hAnsi="Times New Roman" w:eastAsia="仿宋_GB2312" w:cs="Times New Roman"/>
                <w:kern w:val="0"/>
                <w:sz w:val="24"/>
                <w:szCs w:val="24"/>
              </w:rPr>
            </w:pPr>
          </w:p>
        </w:tc>
        <w:tc>
          <w:tcPr>
            <w:tcW w:w="1134" w:type="dxa"/>
            <w:vAlign w:val="center"/>
          </w:tcPr>
          <w:p w14:paraId="503E3CE0">
            <w:pPr>
              <w:jc w:val="center"/>
              <w:rPr>
                <w:rFonts w:ascii="Times New Roman" w:hAnsi="Times New Roman" w:eastAsia="仿宋_GB2312" w:cs="Times New Roman"/>
                <w:kern w:val="0"/>
                <w:sz w:val="24"/>
                <w:szCs w:val="24"/>
              </w:rPr>
            </w:pPr>
          </w:p>
        </w:tc>
        <w:tc>
          <w:tcPr>
            <w:tcW w:w="979" w:type="dxa"/>
            <w:vAlign w:val="center"/>
          </w:tcPr>
          <w:p w14:paraId="099BF913">
            <w:pPr>
              <w:jc w:val="center"/>
              <w:rPr>
                <w:rFonts w:ascii="Times New Roman" w:hAnsi="Times New Roman" w:eastAsia="仿宋_GB2312" w:cs="Times New Roman"/>
                <w:kern w:val="0"/>
                <w:sz w:val="24"/>
                <w:szCs w:val="24"/>
              </w:rPr>
            </w:pPr>
          </w:p>
        </w:tc>
      </w:tr>
    </w:tbl>
    <w:p w14:paraId="01B9C6AE">
      <w:pPr>
        <w:keepNext/>
        <w:keepLines/>
        <w:spacing w:line="540" w:lineRule="exact"/>
        <w:ind w:firstLine="480" w:firstLineChars="200"/>
        <w:outlineLvl w:val="2"/>
        <w:rPr>
          <w:rFonts w:ascii="Times New Roman" w:hAnsi="Times New Roman" w:eastAsia="楷体" w:cs="Times New Roman"/>
          <w:sz w:val="24"/>
          <w:szCs w:val="24"/>
        </w:rPr>
      </w:pPr>
      <w:bookmarkStart w:id="4" w:name="_Toc22859"/>
      <w:r>
        <w:rPr>
          <w:rFonts w:ascii="Times New Roman" w:hAnsi="Times New Roman" w:eastAsia="楷体" w:cs="Times New Roman"/>
          <w:sz w:val="24"/>
          <w:szCs w:val="24"/>
        </w:rPr>
        <w:t>（二）警戒目标</w:t>
      </w:r>
    </w:p>
    <w:p w14:paraId="4E270FC3">
      <w:pPr>
        <w:spacing w:line="54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注册人、备案人或进口医疗器械境内责任人制定警戒计划的总体目标是发现产品在上市前研究中未充分识别的风险，并重新评估产品的风险，明确需要采取的风险控制措施。根据产品不同生命周期阶段，可以考虑从关注风险的变化趋势、持续更新已知风险提示、跟踪其他相关信息等方面制定具体的警戒目标。</w:t>
      </w:r>
    </w:p>
    <w:p w14:paraId="0BFD6CA3">
      <w:pPr>
        <w:spacing w:line="54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1. 关注风险的变化趋势</w:t>
      </w:r>
    </w:p>
    <w:p w14:paraId="22487B7C">
      <w:pPr>
        <w:spacing w:line="540" w:lineRule="exact"/>
        <w:ind w:firstLine="480" w:firstLineChars="200"/>
        <w:rPr>
          <w:rFonts w:ascii="Times New Roman" w:hAnsi="Times New Roman" w:eastAsia="仿宋" w:cs="Times New Roman"/>
          <w:sz w:val="24"/>
          <w:szCs w:val="24"/>
        </w:rPr>
      </w:pPr>
      <w:bookmarkStart w:id="5" w:name="OLE_LINK2"/>
      <w:bookmarkStart w:id="6" w:name="OLE_LINK3"/>
      <w:r>
        <w:rPr>
          <w:rFonts w:ascii="Times New Roman" w:hAnsi="Times New Roman" w:eastAsia="仿宋" w:cs="Times New Roman"/>
          <w:sz w:val="24"/>
          <w:szCs w:val="24"/>
        </w:rPr>
        <w:t>主要考虑的内容包括：</w:t>
      </w:r>
      <w:bookmarkEnd w:id="5"/>
      <w:bookmarkEnd w:id="6"/>
      <w:r>
        <w:rPr>
          <w:rFonts w:ascii="Times New Roman" w:hAnsi="Times New Roman" w:eastAsia="仿宋" w:cs="Times New Roman"/>
          <w:sz w:val="24"/>
          <w:szCs w:val="24"/>
        </w:rPr>
        <w:t>同类医疗器械是否发现任何未识别风险；上市后监测到不良事件的严重程度和发生概率是否与上市前制定的风险管理文档一致；产品的风险是否发生了变化；影响风险的危险情况的原因是否明确；如果属于植入类、创新医疗器械、人工智能等重点关注的产品，是否需要定期监测不良事件发生率。</w:t>
      </w:r>
    </w:p>
    <w:p w14:paraId="7F47180B">
      <w:pPr>
        <w:spacing w:line="54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2.持续更新已知风险提示</w:t>
      </w:r>
    </w:p>
    <w:p w14:paraId="041D83D9">
      <w:pPr>
        <w:spacing w:line="54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主要考虑的内容包括：预期的使用期限是否准确；获批的适用范围和禁忌症是否合适；上市后设计开发等的改进是否影响产品的风险；高频故障是否是因为保养维修不当引起；是否存在可用性问题，并评估开展培训指导用户正确维修保养和改进器械可用性问题的可能性；是否有新的非正常使用的情况；是否有未识别的医疗器械间的相互作用。</w:t>
      </w:r>
    </w:p>
    <w:p w14:paraId="621EB5D6">
      <w:pPr>
        <w:spacing w:line="54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3.跟踪其他相关信息</w:t>
      </w:r>
    </w:p>
    <w:p w14:paraId="3DD453BB">
      <w:pPr>
        <w:widowControl/>
        <w:spacing w:line="540" w:lineRule="exact"/>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主要考虑的内容包括：是否开展主动监测持续研究产品风险；是否需要考虑医疗器械对患者的生活质量的影响，长期使用后是否仍然满足需求；是否产生特殊的使用经验；患者在植入医疗器械时的平均年龄是否影响产品预期的有效期限；</w:t>
      </w:r>
      <w:r>
        <w:rPr>
          <w:rFonts w:ascii="Times New Roman" w:hAnsi="Times New Roman" w:eastAsia="仿宋" w:cs="Times New Roman"/>
          <w:sz w:val="24"/>
          <w:szCs w:val="24"/>
          <w:lang w:bidi="ar"/>
        </w:rPr>
        <w:t>医疗器械是否存在需要改进之处</w:t>
      </w:r>
      <w:r>
        <w:rPr>
          <w:rFonts w:ascii="Times New Roman" w:hAnsi="Times New Roman" w:eastAsia="仿宋" w:cs="Times New Roman"/>
          <w:sz w:val="24"/>
          <w:szCs w:val="24"/>
        </w:rPr>
        <w:t>，产品上市后</w:t>
      </w:r>
      <w:r>
        <w:rPr>
          <w:rFonts w:ascii="Times New Roman" w:hAnsi="Times New Roman" w:eastAsia="仿宋" w:cs="Times New Roman"/>
          <w:sz w:val="24"/>
          <w:szCs w:val="24"/>
          <w:lang w:bidi="ar"/>
        </w:rPr>
        <w:t>最新技术水平是否发生了变化</w:t>
      </w:r>
      <w:r>
        <w:rPr>
          <w:rFonts w:ascii="Times New Roman" w:hAnsi="Times New Roman" w:eastAsia="仿宋" w:cs="Times New Roman"/>
          <w:sz w:val="24"/>
          <w:szCs w:val="24"/>
        </w:rPr>
        <w:t>。</w:t>
      </w:r>
    </w:p>
    <w:bookmarkEnd w:id="4"/>
    <w:p w14:paraId="7148E5FE">
      <w:pPr>
        <w:keepNext/>
        <w:keepLines/>
        <w:spacing w:line="540" w:lineRule="exact"/>
        <w:ind w:firstLine="480" w:firstLineChars="200"/>
        <w:outlineLvl w:val="2"/>
        <w:rPr>
          <w:rFonts w:ascii="Times New Roman" w:hAnsi="Times New Roman" w:eastAsia="楷体" w:cs="Times New Roman"/>
          <w:sz w:val="24"/>
          <w:szCs w:val="24"/>
        </w:rPr>
      </w:pPr>
      <w:bookmarkStart w:id="7" w:name="_Toc2222"/>
      <w:r>
        <w:rPr>
          <w:rFonts w:ascii="Times New Roman" w:hAnsi="Times New Roman" w:eastAsia="楷体" w:cs="Times New Roman"/>
          <w:sz w:val="24"/>
          <w:szCs w:val="24"/>
        </w:rPr>
        <w:t>（三）数据收集</w:t>
      </w:r>
      <w:bookmarkEnd w:id="7"/>
    </w:p>
    <w:p w14:paraId="76EEB7F8">
      <w:pPr>
        <w:spacing w:line="54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注册人、备案人或进口医疗器械境内责任人应当在警戒计划中明确警戒数据的信息来源，明确对事件分类过程记录的形式（表格的形式可参考表2），可以使用术语集进行描述。主要数据来源包括用户反馈、监测系统反馈的不良事件、主动监测数据、文献报道等国内外相关信息。</w:t>
      </w:r>
    </w:p>
    <w:p w14:paraId="5BCB89B1">
      <w:pPr>
        <w:spacing w:line="54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表2 警戒数据收集分类过程记录表</w:t>
      </w:r>
    </w:p>
    <w:tbl>
      <w:tblPr>
        <w:tblStyle w:val="11"/>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228"/>
        <w:gridCol w:w="1228"/>
        <w:gridCol w:w="1228"/>
        <w:gridCol w:w="1228"/>
        <w:gridCol w:w="855"/>
        <w:gridCol w:w="964"/>
        <w:gridCol w:w="874"/>
      </w:tblGrid>
      <w:tr w14:paraId="3240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vAlign w:val="center"/>
          </w:tcPr>
          <w:p w14:paraId="4CFF02DC">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事件序号</w:t>
            </w:r>
          </w:p>
        </w:tc>
        <w:tc>
          <w:tcPr>
            <w:tcW w:w="1228" w:type="dxa"/>
            <w:vAlign w:val="center"/>
          </w:tcPr>
          <w:p w14:paraId="22A259DB">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信息来源</w:t>
            </w:r>
          </w:p>
        </w:tc>
        <w:tc>
          <w:tcPr>
            <w:tcW w:w="1228" w:type="dxa"/>
            <w:vAlign w:val="center"/>
          </w:tcPr>
          <w:p w14:paraId="216A0263">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伤害表现/产品问题（故障/缺陷）</w:t>
            </w:r>
          </w:p>
        </w:tc>
        <w:tc>
          <w:tcPr>
            <w:tcW w:w="1228" w:type="dxa"/>
            <w:vAlign w:val="center"/>
          </w:tcPr>
          <w:p w14:paraId="28EE7324">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调查结果/调查结论</w:t>
            </w:r>
          </w:p>
        </w:tc>
        <w:tc>
          <w:tcPr>
            <w:tcW w:w="1228" w:type="dxa"/>
            <w:vAlign w:val="center"/>
          </w:tcPr>
          <w:p w14:paraId="1E152DC8">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是/否属于不良事件</w:t>
            </w:r>
          </w:p>
        </w:tc>
        <w:tc>
          <w:tcPr>
            <w:tcW w:w="855" w:type="dxa"/>
            <w:vAlign w:val="center"/>
          </w:tcPr>
          <w:p w14:paraId="7CB6EECD">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是/否</w:t>
            </w:r>
          </w:p>
          <w:p w14:paraId="756A88E2">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w:t>
            </w:r>
          </w:p>
        </w:tc>
        <w:tc>
          <w:tcPr>
            <w:tcW w:w="964" w:type="dxa"/>
            <w:vAlign w:val="center"/>
          </w:tcPr>
          <w:p w14:paraId="39C424C8">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是/否为已知风险</w:t>
            </w:r>
          </w:p>
        </w:tc>
        <w:tc>
          <w:tcPr>
            <w:tcW w:w="874" w:type="dxa"/>
            <w:vAlign w:val="center"/>
          </w:tcPr>
          <w:p w14:paraId="2BB13710">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未报告</w:t>
            </w:r>
          </w:p>
          <w:p w14:paraId="10342998">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理由</w:t>
            </w:r>
          </w:p>
        </w:tc>
      </w:tr>
      <w:tr w14:paraId="2747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28" w:type="dxa"/>
            <w:vAlign w:val="center"/>
          </w:tcPr>
          <w:p w14:paraId="66A2F779">
            <w:pPr>
              <w:jc w:val="center"/>
              <w:rPr>
                <w:rFonts w:ascii="Times New Roman" w:hAnsi="Times New Roman" w:eastAsia="仿宋_GB2312" w:cs="Times New Roman"/>
                <w:kern w:val="0"/>
                <w:sz w:val="24"/>
                <w:szCs w:val="24"/>
              </w:rPr>
            </w:pPr>
          </w:p>
        </w:tc>
        <w:tc>
          <w:tcPr>
            <w:tcW w:w="1228" w:type="dxa"/>
            <w:vAlign w:val="center"/>
          </w:tcPr>
          <w:p w14:paraId="22DDD31F">
            <w:pPr>
              <w:jc w:val="center"/>
              <w:rPr>
                <w:rFonts w:ascii="Times New Roman" w:hAnsi="Times New Roman" w:eastAsia="仿宋_GB2312" w:cs="Times New Roman"/>
                <w:kern w:val="0"/>
                <w:sz w:val="24"/>
                <w:szCs w:val="24"/>
              </w:rPr>
            </w:pPr>
          </w:p>
        </w:tc>
        <w:tc>
          <w:tcPr>
            <w:tcW w:w="1228" w:type="dxa"/>
            <w:vAlign w:val="center"/>
          </w:tcPr>
          <w:p w14:paraId="5CEE9CC9">
            <w:pPr>
              <w:jc w:val="center"/>
              <w:rPr>
                <w:rFonts w:ascii="Times New Roman" w:hAnsi="Times New Roman" w:eastAsia="仿宋_GB2312" w:cs="Times New Roman"/>
                <w:kern w:val="0"/>
                <w:sz w:val="24"/>
                <w:szCs w:val="24"/>
              </w:rPr>
            </w:pPr>
          </w:p>
        </w:tc>
        <w:tc>
          <w:tcPr>
            <w:tcW w:w="1228" w:type="dxa"/>
            <w:vAlign w:val="center"/>
          </w:tcPr>
          <w:p w14:paraId="188ED639">
            <w:pPr>
              <w:jc w:val="center"/>
              <w:rPr>
                <w:rFonts w:ascii="Times New Roman" w:hAnsi="Times New Roman" w:eastAsia="仿宋_GB2312" w:cs="Times New Roman"/>
                <w:kern w:val="0"/>
                <w:sz w:val="24"/>
                <w:szCs w:val="24"/>
              </w:rPr>
            </w:pPr>
          </w:p>
        </w:tc>
        <w:tc>
          <w:tcPr>
            <w:tcW w:w="1228" w:type="dxa"/>
            <w:vAlign w:val="center"/>
          </w:tcPr>
          <w:p w14:paraId="486537B0">
            <w:pPr>
              <w:jc w:val="center"/>
              <w:rPr>
                <w:rFonts w:ascii="Times New Roman" w:hAnsi="Times New Roman" w:eastAsia="仿宋_GB2312" w:cs="Times New Roman"/>
                <w:kern w:val="0"/>
                <w:sz w:val="24"/>
                <w:szCs w:val="24"/>
              </w:rPr>
            </w:pPr>
          </w:p>
        </w:tc>
        <w:tc>
          <w:tcPr>
            <w:tcW w:w="855" w:type="dxa"/>
            <w:vAlign w:val="center"/>
          </w:tcPr>
          <w:p w14:paraId="162BAF26">
            <w:pPr>
              <w:jc w:val="center"/>
              <w:rPr>
                <w:rFonts w:ascii="Times New Roman" w:hAnsi="Times New Roman" w:eastAsia="仿宋_GB2312" w:cs="Times New Roman"/>
                <w:kern w:val="0"/>
                <w:sz w:val="24"/>
                <w:szCs w:val="24"/>
              </w:rPr>
            </w:pPr>
          </w:p>
        </w:tc>
        <w:tc>
          <w:tcPr>
            <w:tcW w:w="964" w:type="dxa"/>
            <w:vAlign w:val="center"/>
          </w:tcPr>
          <w:p w14:paraId="3540825A">
            <w:pPr>
              <w:jc w:val="center"/>
              <w:rPr>
                <w:rFonts w:ascii="Times New Roman" w:hAnsi="Times New Roman" w:eastAsia="仿宋_GB2312" w:cs="Times New Roman"/>
                <w:kern w:val="0"/>
                <w:sz w:val="24"/>
                <w:szCs w:val="24"/>
              </w:rPr>
            </w:pPr>
          </w:p>
        </w:tc>
        <w:tc>
          <w:tcPr>
            <w:tcW w:w="874" w:type="dxa"/>
            <w:vAlign w:val="center"/>
          </w:tcPr>
          <w:p w14:paraId="6C0F90F7">
            <w:pPr>
              <w:jc w:val="center"/>
              <w:rPr>
                <w:rFonts w:ascii="Times New Roman" w:hAnsi="Times New Roman" w:eastAsia="仿宋_GB2312" w:cs="Times New Roman"/>
                <w:kern w:val="0"/>
                <w:sz w:val="24"/>
                <w:szCs w:val="24"/>
              </w:rPr>
            </w:pPr>
          </w:p>
        </w:tc>
      </w:tr>
      <w:tr w14:paraId="149A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28" w:type="dxa"/>
            <w:vAlign w:val="center"/>
          </w:tcPr>
          <w:p w14:paraId="67872C22">
            <w:pPr>
              <w:jc w:val="center"/>
              <w:rPr>
                <w:rFonts w:ascii="Times New Roman" w:hAnsi="Times New Roman" w:eastAsia="仿宋_GB2312" w:cs="Times New Roman"/>
                <w:kern w:val="0"/>
                <w:sz w:val="24"/>
                <w:szCs w:val="24"/>
              </w:rPr>
            </w:pPr>
          </w:p>
        </w:tc>
        <w:tc>
          <w:tcPr>
            <w:tcW w:w="1228" w:type="dxa"/>
            <w:vAlign w:val="center"/>
          </w:tcPr>
          <w:p w14:paraId="435A1181">
            <w:pPr>
              <w:jc w:val="center"/>
              <w:rPr>
                <w:rFonts w:ascii="Times New Roman" w:hAnsi="Times New Roman" w:eastAsia="仿宋_GB2312" w:cs="Times New Roman"/>
                <w:kern w:val="0"/>
                <w:sz w:val="24"/>
                <w:szCs w:val="24"/>
              </w:rPr>
            </w:pPr>
          </w:p>
        </w:tc>
        <w:tc>
          <w:tcPr>
            <w:tcW w:w="1228" w:type="dxa"/>
            <w:vAlign w:val="center"/>
          </w:tcPr>
          <w:p w14:paraId="37A4A8CC">
            <w:pPr>
              <w:jc w:val="center"/>
              <w:rPr>
                <w:rFonts w:ascii="Times New Roman" w:hAnsi="Times New Roman" w:eastAsia="仿宋_GB2312" w:cs="Times New Roman"/>
                <w:kern w:val="0"/>
                <w:sz w:val="24"/>
                <w:szCs w:val="24"/>
              </w:rPr>
            </w:pPr>
          </w:p>
        </w:tc>
        <w:tc>
          <w:tcPr>
            <w:tcW w:w="1228" w:type="dxa"/>
            <w:vAlign w:val="center"/>
          </w:tcPr>
          <w:p w14:paraId="5DE0BB0E">
            <w:pPr>
              <w:jc w:val="center"/>
              <w:rPr>
                <w:rFonts w:ascii="Times New Roman" w:hAnsi="Times New Roman" w:eastAsia="仿宋_GB2312" w:cs="Times New Roman"/>
                <w:kern w:val="0"/>
                <w:sz w:val="24"/>
                <w:szCs w:val="24"/>
              </w:rPr>
            </w:pPr>
          </w:p>
        </w:tc>
        <w:tc>
          <w:tcPr>
            <w:tcW w:w="1228" w:type="dxa"/>
            <w:vAlign w:val="center"/>
          </w:tcPr>
          <w:p w14:paraId="794C03BA">
            <w:pPr>
              <w:jc w:val="center"/>
              <w:rPr>
                <w:rFonts w:ascii="Times New Roman" w:hAnsi="Times New Roman" w:eastAsia="仿宋_GB2312" w:cs="Times New Roman"/>
                <w:kern w:val="0"/>
                <w:sz w:val="24"/>
                <w:szCs w:val="24"/>
              </w:rPr>
            </w:pPr>
          </w:p>
        </w:tc>
        <w:tc>
          <w:tcPr>
            <w:tcW w:w="855" w:type="dxa"/>
            <w:vAlign w:val="center"/>
          </w:tcPr>
          <w:p w14:paraId="0F605A9D">
            <w:pPr>
              <w:jc w:val="center"/>
              <w:rPr>
                <w:rFonts w:ascii="Times New Roman" w:hAnsi="Times New Roman" w:eastAsia="仿宋_GB2312" w:cs="Times New Roman"/>
                <w:kern w:val="0"/>
                <w:sz w:val="24"/>
                <w:szCs w:val="24"/>
              </w:rPr>
            </w:pPr>
          </w:p>
        </w:tc>
        <w:tc>
          <w:tcPr>
            <w:tcW w:w="964" w:type="dxa"/>
            <w:vAlign w:val="center"/>
          </w:tcPr>
          <w:p w14:paraId="3A40A246">
            <w:pPr>
              <w:jc w:val="center"/>
              <w:rPr>
                <w:rFonts w:ascii="Times New Roman" w:hAnsi="Times New Roman" w:eastAsia="仿宋_GB2312" w:cs="Times New Roman"/>
                <w:kern w:val="0"/>
                <w:sz w:val="24"/>
                <w:szCs w:val="24"/>
              </w:rPr>
            </w:pPr>
          </w:p>
        </w:tc>
        <w:tc>
          <w:tcPr>
            <w:tcW w:w="874" w:type="dxa"/>
            <w:vAlign w:val="center"/>
          </w:tcPr>
          <w:p w14:paraId="1C55D982">
            <w:pPr>
              <w:jc w:val="center"/>
              <w:rPr>
                <w:rFonts w:ascii="Times New Roman" w:hAnsi="Times New Roman" w:eastAsia="仿宋_GB2312" w:cs="Times New Roman"/>
                <w:kern w:val="0"/>
                <w:sz w:val="24"/>
                <w:szCs w:val="24"/>
              </w:rPr>
            </w:pPr>
          </w:p>
        </w:tc>
      </w:tr>
    </w:tbl>
    <w:p w14:paraId="4E1E3146">
      <w:pPr>
        <w:keepNext/>
        <w:keepLines/>
        <w:spacing w:line="300" w:lineRule="exact"/>
        <w:outlineLvl w:val="2"/>
        <w:rPr>
          <w:rFonts w:ascii="Times New Roman" w:hAnsi="Times New Roman" w:eastAsia="仿宋_GB2312" w:cs="Times New Roman"/>
          <w:sz w:val="24"/>
          <w:szCs w:val="24"/>
        </w:rPr>
      </w:pPr>
      <w:r>
        <w:rPr>
          <w:rFonts w:ascii="Times New Roman" w:hAnsi="Times New Roman" w:eastAsia="仿宋_GB2312" w:cs="Times New Roman"/>
          <w:sz w:val="24"/>
          <w:szCs w:val="24"/>
        </w:rPr>
        <w:t>表注：未报告理由，是指未作为医疗器械不良事件报告的理由，可简单描述。</w:t>
      </w:r>
    </w:p>
    <w:p w14:paraId="70AB64C1">
      <w:pPr>
        <w:keepNext/>
        <w:keepLines/>
        <w:spacing w:line="540" w:lineRule="exact"/>
        <w:ind w:firstLine="480" w:firstLineChars="200"/>
        <w:outlineLvl w:val="2"/>
        <w:rPr>
          <w:rFonts w:ascii="Times New Roman" w:hAnsi="Times New Roman" w:eastAsia="楷体" w:cs="Times New Roman"/>
          <w:sz w:val="24"/>
          <w:szCs w:val="24"/>
        </w:rPr>
      </w:pPr>
      <w:r>
        <w:rPr>
          <w:rFonts w:ascii="Times New Roman" w:hAnsi="Times New Roman" w:eastAsia="楷体" w:cs="Times New Roman"/>
          <w:sz w:val="24"/>
          <w:szCs w:val="24"/>
        </w:rPr>
        <w:t>（四）风险分析</w:t>
      </w:r>
    </w:p>
    <w:p w14:paraId="5FE96467">
      <w:pPr>
        <w:spacing w:line="54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警戒计划中应当明确警戒数据的风险分析方法，以识别潜在风险和风险趋势异常等问题，制定风险评估标准（可引用风险管理文档的相关内容，参考表3），对风险的术语表达进行规范，对严重程度和发生概率进行估计，采用适当的方法学工具识别和确认风险，建立风险可接受准则（参考《GB/T42062-2022 医疗器械 风险管理对医疗器械的应用》《医疗器械产品受益-风险判定技术指南》等文件）。</w:t>
      </w:r>
    </w:p>
    <w:p w14:paraId="6960A4B3">
      <w:pPr>
        <w:spacing w:line="54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 对警戒数据风险分析的判断标准对照表</w:t>
      </w:r>
    </w:p>
    <w:tbl>
      <w:tblPr>
        <w:tblStyle w:val="11"/>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020"/>
        <w:gridCol w:w="1139"/>
        <w:gridCol w:w="1077"/>
        <w:gridCol w:w="1247"/>
        <w:gridCol w:w="1077"/>
        <w:gridCol w:w="1144"/>
        <w:gridCol w:w="1099"/>
      </w:tblGrid>
      <w:tr w14:paraId="0A76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54CEB135">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编号</w:t>
            </w:r>
          </w:p>
        </w:tc>
        <w:tc>
          <w:tcPr>
            <w:tcW w:w="1020" w:type="dxa"/>
            <w:vAlign w:val="center"/>
          </w:tcPr>
          <w:p w14:paraId="32D78296">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危险</w:t>
            </w:r>
          </w:p>
        </w:tc>
        <w:tc>
          <w:tcPr>
            <w:tcW w:w="1139" w:type="dxa"/>
            <w:vAlign w:val="center"/>
          </w:tcPr>
          <w:p w14:paraId="3E28D940">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危险情况</w:t>
            </w:r>
          </w:p>
        </w:tc>
        <w:tc>
          <w:tcPr>
            <w:tcW w:w="1077" w:type="dxa"/>
            <w:vAlign w:val="center"/>
          </w:tcPr>
          <w:p w14:paraId="73FB1608">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危险情况发生概率</w:t>
            </w:r>
          </w:p>
        </w:tc>
        <w:tc>
          <w:tcPr>
            <w:tcW w:w="1247" w:type="dxa"/>
            <w:vAlign w:val="center"/>
          </w:tcPr>
          <w:p w14:paraId="12AD39EB">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可预见的</w:t>
            </w:r>
          </w:p>
          <w:p w14:paraId="6F7A3220">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风险情形</w:t>
            </w:r>
          </w:p>
        </w:tc>
        <w:tc>
          <w:tcPr>
            <w:tcW w:w="1077" w:type="dxa"/>
            <w:vAlign w:val="center"/>
          </w:tcPr>
          <w:p w14:paraId="32528ECE">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伤害表现</w:t>
            </w:r>
          </w:p>
        </w:tc>
        <w:tc>
          <w:tcPr>
            <w:tcW w:w="1144" w:type="dxa"/>
            <w:vAlign w:val="center"/>
          </w:tcPr>
          <w:p w14:paraId="648A2355">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严重程度</w:t>
            </w:r>
          </w:p>
        </w:tc>
        <w:tc>
          <w:tcPr>
            <w:tcW w:w="1099" w:type="dxa"/>
            <w:vAlign w:val="center"/>
          </w:tcPr>
          <w:p w14:paraId="68FA21E9">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伤害发生概率</w:t>
            </w:r>
          </w:p>
        </w:tc>
      </w:tr>
      <w:tr w14:paraId="6A41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14:paraId="0F4A7FA0">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020" w:type="dxa"/>
            <w:vAlign w:val="center"/>
          </w:tcPr>
          <w:p w14:paraId="14425F76">
            <w:pPr>
              <w:jc w:val="center"/>
              <w:rPr>
                <w:rFonts w:ascii="Times New Roman" w:hAnsi="Times New Roman" w:eastAsia="仿宋_GB2312" w:cs="Times New Roman"/>
                <w:kern w:val="0"/>
                <w:sz w:val="24"/>
                <w:szCs w:val="24"/>
              </w:rPr>
            </w:pPr>
          </w:p>
        </w:tc>
        <w:tc>
          <w:tcPr>
            <w:tcW w:w="1139" w:type="dxa"/>
            <w:vAlign w:val="center"/>
          </w:tcPr>
          <w:p w14:paraId="22BC1152">
            <w:pPr>
              <w:jc w:val="center"/>
              <w:rPr>
                <w:rFonts w:ascii="Times New Roman" w:hAnsi="Times New Roman" w:eastAsia="仿宋_GB2312" w:cs="Times New Roman"/>
                <w:kern w:val="0"/>
                <w:sz w:val="24"/>
                <w:szCs w:val="24"/>
              </w:rPr>
            </w:pPr>
          </w:p>
        </w:tc>
        <w:tc>
          <w:tcPr>
            <w:tcW w:w="1077" w:type="dxa"/>
            <w:vAlign w:val="center"/>
          </w:tcPr>
          <w:p w14:paraId="0D19EC31">
            <w:pPr>
              <w:jc w:val="center"/>
              <w:rPr>
                <w:rFonts w:ascii="Times New Roman" w:hAnsi="Times New Roman" w:eastAsia="仿宋_GB2312" w:cs="Times New Roman"/>
                <w:kern w:val="0"/>
                <w:sz w:val="24"/>
                <w:szCs w:val="24"/>
              </w:rPr>
            </w:pPr>
          </w:p>
        </w:tc>
        <w:tc>
          <w:tcPr>
            <w:tcW w:w="1247" w:type="dxa"/>
            <w:vAlign w:val="center"/>
          </w:tcPr>
          <w:p w14:paraId="59D7005B">
            <w:pPr>
              <w:jc w:val="center"/>
              <w:rPr>
                <w:rFonts w:ascii="Times New Roman" w:hAnsi="Times New Roman" w:eastAsia="仿宋_GB2312" w:cs="Times New Roman"/>
                <w:kern w:val="0"/>
                <w:sz w:val="24"/>
                <w:szCs w:val="24"/>
              </w:rPr>
            </w:pPr>
          </w:p>
        </w:tc>
        <w:tc>
          <w:tcPr>
            <w:tcW w:w="1077" w:type="dxa"/>
            <w:vAlign w:val="center"/>
          </w:tcPr>
          <w:p w14:paraId="43E4DD3A">
            <w:pPr>
              <w:jc w:val="left"/>
              <w:rPr>
                <w:rFonts w:ascii="Times New Roman" w:hAnsi="Times New Roman" w:eastAsia="仿宋_GB2312" w:cs="Times New Roman"/>
                <w:kern w:val="0"/>
                <w:sz w:val="24"/>
                <w:szCs w:val="24"/>
              </w:rPr>
            </w:pPr>
          </w:p>
        </w:tc>
        <w:tc>
          <w:tcPr>
            <w:tcW w:w="1144" w:type="dxa"/>
            <w:vAlign w:val="center"/>
          </w:tcPr>
          <w:p w14:paraId="431E0BCD">
            <w:pPr>
              <w:jc w:val="left"/>
              <w:rPr>
                <w:rFonts w:ascii="Times New Roman" w:hAnsi="Times New Roman" w:eastAsia="仿宋_GB2312" w:cs="Times New Roman"/>
                <w:kern w:val="0"/>
                <w:sz w:val="24"/>
                <w:szCs w:val="24"/>
              </w:rPr>
            </w:pPr>
          </w:p>
        </w:tc>
        <w:tc>
          <w:tcPr>
            <w:tcW w:w="1099" w:type="dxa"/>
            <w:vAlign w:val="center"/>
          </w:tcPr>
          <w:p w14:paraId="6F5494D4">
            <w:pPr>
              <w:jc w:val="center"/>
              <w:rPr>
                <w:rFonts w:ascii="Times New Roman" w:hAnsi="Times New Roman" w:eastAsia="仿宋_GB2312" w:cs="Times New Roman"/>
                <w:kern w:val="0"/>
                <w:sz w:val="24"/>
                <w:szCs w:val="24"/>
              </w:rPr>
            </w:pPr>
          </w:p>
        </w:tc>
      </w:tr>
      <w:tr w14:paraId="08AE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14:paraId="75FAE36B">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020" w:type="dxa"/>
            <w:vAlign w:val="center"/>
          </w:tcPr>
          <w:p w14:paraId="44381792">
            <w:pPr>
              <w:jc w:val="center"/>
              <w:rPr>
                <w:rFonts w:ascii="Times New Roman" w:hAnsi="Times New Roman" w:eastAsia="仿宋_GB2312" w:cs="Times New Roman"/>
                <w:kern w:val="0"/>
                <w:sz w:val="24"/>
                <w:szCs w:val="24"/>
              </w:rPr>
            </w:pPr>
          </w:p>
        </w:tc>
        <w:tc>
          <w:tcPr>
            <w:tcW w:w="1139" w:type="dxa"/>
            <w:vAlign w:val="center"/>
          </w:tcPr>
          <w:p w14:paraId="17BB2CDD">
            <w:pPr>
              <w:jc w:val="center"/>
              <w:rPr>
                <w:rFonts w:ascii="Times New Roman" w:hAnsi="Times New Roman" w:eastAsia="仿宋_GB2312" w:cs="Times New Roman"/>
                <w:kern w:val="0"/>
                <w:sz w:val="24"/>
                <w:szCs w:val="24"/>
              </w:rPr>
            </w:pPr>
          </w:p>
        </w:tc>
        <w:tc>
          <w:tcPr>
            <w:tcW w:w="1077" w:type="dxa"/>
            <w:vAlign w:val="center"/>
          </w:tcPr>
          <w:p w14:paraId="2D1FBF0A">
            <w:pPr>
              <w:jc w:val="center"/>
              <w:rPr>
                <w:rFonts w:ascii="Times New Roman" w:hAnsi="Times New Roman" w:eastAsia="仿宋_GB2312" w:cs="Times New Roman"/>
                <w:kern w:val="0"/>
                <w:sz w:val="24"/>
                <w:szCs w:val="24"/>
              </w:rPr>
            </w:pPr>
          </w:p>
        </w:tc>
        <w:tc>
          <w:tcPr>
            <w:tcW w:w="1247" w:type="dxa"/>
            <w:vAlign w:val="center"/>
          </w:tcPr>
          <w:p w14:paraId="516E1CB1">
            <w:pPr>
              <w:jc w:val="center"/>
              <w:rPr>
                <w:rFonts w:ascii="Times New Roman" w:hAnsi="Times New Roman" w:eastAsia="仿宋_GB2312" w:cs="Times New Roman"/>
                <w:kern w:val="0"/>
                <w:sz w:val="24"/>
                <w:szCs w:val="24"/>
              </w:rPr>
            </w:pPr>
          </w:p>
        </w:tc>
        <w:tc>
          <w:tcPr>
            <w:tcW w:w="1077" w:type="dxa"/>
            <w:vAlign w:val="center"/>
          </w:tcPr>
          <w:p w14:paraId="38738F3E">
            <w:pPr>
              <w:jc w:val="center"/>
              <w:rPr>
                <w:rFonts w:ascii="Times New Roman" w:hAnsi="Times New Roman" w:eastAsia="仿宋_GB2312" w:cs="Times New Roman"/>
                <w:kern w:val="0"/>
                <w:sz w:val="24"/>
                <w:szCs w:val="24"/>
              </w:rPr>
            </w:pPr>
          </w:p>
        </w:tc>
        <w:tc>
          <w:tcPr>
            <w:tcW w:w="1144" w:type="dxa"/>
            <w:vAlign w:val="center"/>
          </w:tcPr>
          <w:p w14:paraId="024CC416">
            <w:pPr>
              <w:jc w:val="center"/>
              <w:rPr>
                <w:rFonts w:ascii="Times New Roman" w:hAnsi="Times New Roman" w:eastAsia="仿宋_GB2312" w:cs="Times New Roman"/>
                <w:kern w:val="0"/>
                <w:sz w:val="24"/>
                <w:szCs w:val="24"/>
              </w:rPr>
            </w:pPr>
          </w:p>
        </w:tc>
        <w:tc>
          <w:tcPr>
            <w:tcW w:w="1099" w:type="dxa"/>
            <w:vAlign w:val="center"/>
          </w:tcPr>
          <w:p w14:paraId="7A53A809">
            <w:pPr>
              <w:jc w:val="center"/>
              <w:rPr>
                <w:rFonts w:ascii="Times New Roman" w:hAnsi="Times New Roman" w:eastAsia="仿宋_GB2312" w:cs="Times New Roman"/>
                <w:kern w:val="0"/>
                <w:sz w:val="24"/>
                <w:szCs w:val="24"/>
              </w:rPr>
            </w:pPr>
          </w:p>
        </w:tc>
      </w:tr>
      <w:tr w14:paraId="0399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14:paraId="7DA89F81">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020" w:type="dxa"/>
            <w:vAlign w:val="center"/>
          </w:tcPr>
          <w:p w14:paraId="7C0315F4">
            <w:pPr>
              <w:jc w:val="center"/>
              <w:rPr>
                <w:rFonts w:ascii="Times New Roman" w:hAnsi="Times New Roman" w:eastAsia="仿宋_GB2312" w:cs="Times New Roman"/>
                <w:kern w:val="0"/>
                <w:sz w:val="24"/>
                <w:szCs w:val="24"/>
              </w:rPr>
            </w:pPr>
          </w:p>
        </w:tc>
        <w:tc>
          <w:tcPr>
            <w:tcW w:w="1139" w:type="dxa"/>
            <w:vAlign w:val="center"/>
          </w:tcPr>
          <w:p w14:paraId="160E26D0">
            <w:pPr>
              <w:jc w:val="center"/>
              <w:rPr>
                <w:rFonts w:ascii="Times New Roman" w:hAnsi="Times New Roman" w:eastAsia="仿宋_GB2312" w:cs="Times New Roman"/>
                <w:kern w:val="0"/>
                <w:sz w:val="24"/>
                <w:szCs w:val="24"/>
              </w:rPr>
            </w:pPr>
          </w:p>
        </w:tc>
        <w:tc>
          <w:tcPr>
            <w:tcW w:w="1077" w:type="dxa"/>
            <w:vAlign w:val="center"/>
          </w:tcPr>
          <w:p w14:paraId="7341F29A">
            <w:pPr>
              <w:jc w:val="center"/>
              <w:rPr>
                <w:rFonts w:ascii="Times New Roman" w:hAnsi="Times New Roman" w:eastAsia="仿宋_GB2312" w:cs="Times New Roman"/>
                <w:kern w:val="0"/>
                <w:sz w:val="24"/>
                <w:szCs w:val="24"/>
              </w:rPr>
            </w:pPr>
          </w:p>
        </w:tc>
        <w:tc>
          <w:tcPr>
            <w:tcW w:w="1247" w:type="dxa"/>
            <w:vAlign w:val="center"/>
          </w:tcPr>
          <w:p w14:paraId="4A478905">
            <w:pPr>
              <w:jc w:val="center"/>
              <w:rPr>
                <w:rFonts w:ascii="Times New Roman" w:hAnsi="Times New Roman" w:eastAsia="仿宋_GB2312" w:cs="Times New Roman"/>
                <w:kern w:val="0"/>
                <w:sz w:val="24"/>
                <w:szCs w:val="24"/>
              </w:rPr>
            </w:pPr>
          </w:p>
        </w:tc>
        <w:tc>
          <w:tcPr>
            <w:tcW w:w="1077" w:type="dxa"/>
            <w:vAlign w:val="center"/>
          </w:tcPr>
          <w:p w14:paraId="3822EC6E">
            <w:pPr>
              <w:jc w:val="center"/>
              <w:rPr>
                <w:rFonts w:ascii="Times New Roman" w:hAnsi="Times New Roman" w:eastAsia="仿宋_GB2312" w:cs="Times New Roman"/>
                <w:kern w:val="0"/>
                <w:sz w:val="24"/>
                <w:szCs w:val="24"/>
              </w:rPr>
            </w:pPr>
          </w:p>
        </w:tc>
        <w:tc>
          <w:tcPr>
            <w:tcW w:w="1144" w:type="dxa"/>
            <w:vAlign w:val="center"/>
          </w:tcPr>
          <w:p w14:paraId="485EAE1B">
            <w:pPr>
              <w:jc w:val="center"/>
              <w:rPr>
                <w:rFonts w:ascii="Times New Roman" w:hAnsi="Times New Roman" w:eastAsia="仿宋_GB2312" w:cs="Times New Roman"/>
                <w:kern w:val="0"/>
                <w:sz w:val="24"/>
                <w:szCs w:val="24"/>
              </w:rPr>
            </w:pPr>
          </w:p>
        </w:tc>
        <w:tc>
          <w:tcPr>
            <w:tcW w:w="1099" w:type="dxa"/>
            <w:vAlign w:val="center"/>
          </w:tcPr>
          <w:p w14:paraId="64D1A962">
            <w:pPr>
              <w:jc w:val="center"/>
              <w:rPr>
                <w:rFonts w:ascii="Times New Roman" w:hAnsi="Times New Roman" w:eastAsia="仿宋_GB2312" w:cs="Times New Roman"/>
                <w:kern w:val="0"/>
                <w:sz w:val="24"/>
                <w:szCs w:val="24"/>
              </w:rPr>
            </w:pPr>
          </w:p>
        </w:tc>
      </w:tr>
      <w:tr w14:paraId="1A7D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14:paraId="189BC807">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020" w:type="dxa"/>
            <w:vAlign w:val="center"/>
          </w:tcPr>
          <w:p w14:paraId="5B68AE3E">
            <w:pPr>
              <w:jc w:val="center"/>
              <w:rPr>
                <w:rFonts w:ascii="Times New Roman" w:hAnsi="Times New Roman" w:eastAsia="仿宋_GB2312" w:cs="Times New Roman"/>
                <w:kern w:val="0"/>
                <w:sz w:val="24"/>
                <w:szCs w:val="24"/>
              </w:rPr>
            </w:pPr>
          </w:p>
        </w:tc>
        <w:tc>
          <w:tcPr>
            <w:tcW w:w="1139" w:type="dxa"/>
            <w:vAlign w:val="center"/>
          </w:tcPr>
          <w:p w14:paraId="4996DF0C">
            <w:pPr>
              <w:jc w:val="center"/>
              <w:rPr>
                <w:rFonts w:ascii="Times New Roman" w:hAnsi="Times New Roman" w:eastAsia="仿宋_GB2312" w:cs="Times New Roman"/>
                <w:kern w:val="0"/>
                <w:sz w:val="24"/>
                <w:szCs w:val="24"/>
              </w:rPr>
            </w:pPr>
          </w:p>
        </w:tc>
        <w:tc>
          <w:tcPr>
            <w:tcW w:w="1077" w:type="dxa"/>
            <w:vAlign w:val="center"/>
          </w:tcPr>
          <w:p w14:paraId="021FCF33">
            <w:pPr>
              <w:jc w:val="center"/>
              <w:rPr>
                <w:rFonts w:ascii="Times New Roman" w:hAnsi="Times New Roman" w:eastAsia="仿宋_GB2312" w:cs="Times New Roman"/>
                <w:kern w:val="0"/>
                <w:sz w:val="24"/>
                <w:szCs w:val="24"/>
              </w:rPr>
            </w:pPr>
          </w:p>
        </w:tc>
        <w:tc>
          <w:tcPr>
            <w:tcW w:w="1247" w:type="dxa"/>
            <w:vAlign w:val="center"/>
          </w:tcPr>
          <w:p w14:paraId="785C2CBE">
            <w:pPr>
              <w:jc w:val="center"/>
              <w:rPr>
                <w:rFonts w:ascii="Times New Roman" w:hAnsi="Times New Roman" w:eastAsia="仿宋_GB2312" w:cs="Times New Roman"/>
                <w:kern w:val="0"/>
                <w:sz w:val="24"/>
                <w:szCs w:val="24"/>
              </w:rPr>
            </w:pPr>
          </w:p>
        </w:tc>
        <w:tc>
          <w:tcPr>
            <w:tcW w:w="1077" w:type="dxa"/>
            <w:vAlign w:val="center"/>
          </w:tcPr>
          <w:p w14:paraId="152A498C">
            <w:pPr>
              <w:jc w:val="center"/>
              <w:rPr>
                <w:rFonts w:ascii="Times New Roman" w:hAnsi="Times New Roman" w:eastAsia="仿宋_GB2312" w:cs="Times New Roman"/>
                <w:kern w:val="0"/>
                <w:sz w:val="24"/>
                <w:szCs w:val="24"/>
              </w:rPr>
            </w:pPr>
          </w:p>
        </w:tc>
        <w:tc>
          <w:tcPr>
            <w:tcW w:w="1144" w:type="dxa"/>
            <w:vAlign w:val="center"/>
          </w:tcPr>
          <w:p w14:paraId="5DDF57C3">
            <w:pPr>
              <w:jc w:val="center"/>
              <w:rPr>
                <w:rFonts w:ascii="Times New Roman" w:hAnsi="Times New Roman" w:eastAsia="仿宋_GB2312" w:cs="Times New Roman"/>
                <w:kern w:val="0"/>
                <w:sz w:val="24"/>
                <w:szCs w:val="24"/>
              </w:rPr>
            </w:pPr>
          </w:p>
        </w:tc>
        <w:tc>
          <w:tcPr>
            <w:tcW w:w="1099" w:type="dxa"/>
            <w:vAlign w:val="center"/>
          </w:tcPr>
          <w:p w14:paraId="1B72A214">
            <w:pPr>
              <w:jc w:val="center"/>
              <w:rPr>
                <w:rFonts w:ascii="Times New Roman" w:hAnsi="Times New Roman" w:eastAsia="仿宋_GB2312" w:cs="Times New Roman"/>
                <w:kern w:val="0"/>
                <w:sz w:val="24"/>
                <w:szCs w:val="24"/>
              </w:rPr>
            </w:pPr>
          </w:p>
        </w:tc>
      </w:tr>
      <w:tr w14:paraId="5E07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14:paraId="3AA5385F">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1020" w:type="dxa"/>
            <w:vAlign w:val="center"/>
          </w:tcPr>
          <w:p w14:paraId="51476D8E">
            <w:pPr>
              <w:jc w:val="center"/>
              <w:rPr>
                <w:rFonts w:ascii="Times New Roman" w:hAnsi="Times New Roman" w:eastAsia="仿宋_GB2312" w:cs="Times New Roman"/>
                <w:kern w:val="0"/>
                <w:sz w:val="24"/>
                <w:szCs w:val="24"/>
              </w:rPr>
            </w:pPr>
          </w:p>
        </w:tc>
        <w:tc>
          <w:tcPr>
            <w:tcW w:w="1139" w:type="dxa"/>
            <w:vAlign w:val="center"/>
          </w:tcPr>
          <w:p w14:paraId="57E4CB4C">
            <w:pPr>
              <w:jc w:val="center"/>
              <w:rPr>
                <w:rFonts w:ascii="Times New Roman" w:hAnsi="Times New Roman" w:eastAsia="仿宋_GB2312" w:cs="Times New Roman"/>
                <w:kern w:val="0"/>
                <w:sz w:val="24"/>
                <w:szCs w:val="24"/>
              </w:rPr>
            </w:pPr>
          </w:p>
        </w:tc>
        <w:tc>
          <w:tcPr>
            <w:tcW w:w="1077" w:type="dxa"/>
            <w:vAlign w:val="center"/>
          </w:tcPr>
          <w:p w14:paraId="4F6CF6B5">
            <w:pPr>
              <w:jc w:val="center"/>
              <w:rPr>
                <w:rFonts w:ascii="Times New Roman" w:hAnsi="Times New Roman" w:eastAsia="仿宋_GB2312" w:cs="Times New Roman"/>
                <w:kern w:val="0"/>
                <w:sz w:val="24"/>
                <w:szCs w:val="24"/>
              </w:rPr>
            </w:pPr>
          </w:p>
        </w:tc>
        <w:tc>
          <w:tcPr>
            <w:tcW w:w="1247" w:type="dxa"/>
            <w:vAlign w:val="center"/>
          </w:tcPr>
          <w:p w14:paraId="40A4AC2A">
            <w:pPr>
              <w:jc w:val="center"/>
              <w:rPr>
                <w:rFonts w:ascii="Times New Roman" w:hAnsi="Times New Roman" w:eastAsia="仿宋_GB2312" w:cs="Times New Roman"/>
                <w:kern w:val="0"/>
                <w:sz w:val="24"/>
                <w:szCs w:val="24"/>
              </w:rPr>
            </w:pPr>
          </w:p>
        </w:tc>
        <w:tc>
          <w:tcPr>
            <w:tcW w:w="1077" w:type="dxa"/>
            <w:vAlign w:val="center"/>
          </w:tcPr>
          <w:p w14:paraId="02833C79">
            <w:pPr>
              <w:jc w:val="center"/>
              <w:rPr>
                <w:rFonts w:ascii="Times New Roman" w:hAnsi="Times New Roman" w:eastAsia="仿宋_GB2312" w:cs="Times New Roman"/>
                <w:kern w:val="0"/>
                <w:sz w:val="24"/>
                <w:szCs w:val="24"/>
              </w:rPr>
            </w:pPr>
          </w:p>
        </w:tc>
        <w:tc>
          <w:tcPr>
            <w:tcW w:w="1144" w:type="dxa"/>
            <w:vAlign w:val="center"/>
          </w:tcPr>
          <w:p w14:paraId="242BE707">
            <w:pPr>
              <w:jc w:val="center"/>
              <w:rPr>
                <w:rFonts w:ascii="Times New Roman" w:hAnsi="Times New Roman" w:eastAsia="仿宋_GB2312" w:cs="Times New Roman"/>
                <w:kern w:val="0"/>
                <w:sz w:val="24"/>
                <w:szCs w:val="24"/>
              </w:rPr>
            </w:pPr>
          </w:p>
        </w:tc>
        <w:tc>
          <w:tcPr>
            <w:tcW w:w="1099" w:type="dxa"/>
            <w:vAlign w:val="center"/>
          </w:tcPr>
          <w:p w14:paraId="7E69727C">
            <w:pPr>
              <w:jc w:val="center"/>
              <w:rPr>
                <w:rFonts w:ascii="Times New Roman" w:hAnsi="Times New Roman" w:eastAsia="仿宋_GB2312" w:cs="Times New Roman"/>
                <w:kern w:val="0"/>
                <w:sz w:val="24"/>
                <w:szCs w:val="24"/>
              </w:rPr>
            </w:pPr>
          </w:p>
        </w:tc>
      </w:tr>
      <w:tr w14:paraId="56CC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14:paraId="0098F5C2">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1020" w:type="dxa"/>
            <w:vAlign w:val="center"/>
          </w:tcPr>
          <w:p w14:paraId="66D41E37">
            <w:pPr>
              <w:jc w:val="center"/>
              <w:rPr>
                <w:rFonts w:ascii="Times New Roman" w:hAnsi="Times New Roman" w:eastAsia="仿宋_GB2312" w:cs="Times New Roman"/>
                <w:kern w:val="0"/>
                <w:sz w:val="24"/>
                <w:szCs w:val="24"/>
              </w:rPr>
            </w:pPr>
          </w:p>
        </w:tc>
        <w:tc>
          <w:tcPr>
            <w:tcW w:w="1139" w:type="dxa"/>
            <w:vAlign w:val="center"/>
          </w:tcPr>
          <w:p w14:paraId="721E614C">
            <w:pPr>
              <w:jc w:val="center"/>
              <w:rPr>
                <w:rFonts w:ascii="Times New Roman" w:hAnsi="Times New Roman" w:eastAsia="仿宋_GB2312" w:cs="Times New Roman"/>
                <w:kern w:val="0"/>
                <w:sz w:val="24"/>
                <w:szCs w:val="24"/>
              </w:rPr>
            </w:pPr>
          </w:p>
        </w:tc>
        <w:tc>
          <w:tcPr>
            <w:tcW w:w="1077" w:type="dxa"/>
            <w:vAlign w:val="center"/>
          </w:tcPr>
          <w:p w14:paraId="5379CAD4">
            <w:pPr>
              <w:jc w:val="center"/>
              <w:rPr>
                <w:rFonts w:ascii="Times New Roman" w:hAnsi="Times New Roman" w:eastAsia="仿宋_GB2312" w:cs="Times New Roman"/>
                <w:kern w:val="0"/>
                <w:sz w:val="24"/>
                <w:szCs w:val="24"/>
              </w:rPr>
            </w:pPr>
          </w:p>
        </w:tc>
        <w:tc>
          <w:tcPr>
            <w:tcW w:w="1247" w:type="dxa"/>
            <w:vAlign w:val="center"/>
          </w:tcPr>
          <w:p w14:paraId="68CC0AC2">
            <w:pPr>
              <w:jc w:val="center"/>
              <w:rPr>
                <w:rFonts w:ascii="Times New Roman" w:hAnsi="Times New Roman" w:eastAsia="仿宋_GB2312" w:cs="Times New Roman"/>
                <w:kern w:val="0"/>
                <w:sz w:val="24"/>
                <w:szCs w:val="24"/>
              </w:rPr>
            </w:pPr>
          </w:p>
        </w:tc>
        <w:tc>
          <w:tcPr>
            <w:tcW w:w="1077" w:type="dxa"/>
            <w:vAlign w:val="center"/>
          </w:tcPr>
          <w:p w14:paraId="5B8CDB48">
            <w:pPr>
              <w:jc w:val="center"/>
              <w:rPr>
                <w:rFonts w:ascii="Times New Roman" w:hAnsi="Times New Roman" w:eastAsia="仿宋_GB2312" w:cs="Times New Roman"/>
                <w:kern w:val="0"/>
                <w:sz w:val="24"/>
                <w:szCs w:val="24"/>
              </w:rPr>
            </w:pPr>
          </w:p>
        </w:tc>
        <w:tc>
          <w:tcPr>
            <w:tcW w:w="1144" w:type="dxa"/>
            <w:vAlign w:val="center"/>
          </w:tcPr>
          <w:p w14:paraId="12F9046D">
            <w:pPr>
              <w:jc w:val="center"/>
              <w:rPr>
                <w:rFonts w:ascii="Times New Roman" w:hAnsi="Times New Roman" w:eastAsia="仿宋_GB2312" w:cs="Times New Roman"/>
                <w:kern w:val="0"/>
                <w:sz w:val="24"/>
                <w:szCs w:val="24"/>
              </w:rPr>
            </w:pPr>
          </w:p>
        </w:tc>
        <w:tc>
          <w:tcPr>
            <w:tcW w:w="1099" w:type="dxa"/>
            <w:vAlign w:val="center"/>
          </w:tcPr>
          <w:p w14:paraId="2DDB0624">
            <w:pPr>
              <w:jc w:val="center"/>
              <w:rPr>
                <w:rFonts w:ascii="Times New Roman" w:hAnsi="Times New Roman" w:eastAsia="仿宋_GB2312" w:cs="Times New Roman"/>
                <w:kern w:val="0"/>
                <w:sz w:val="24"/>
                <w:szCs w:val="24"/>
              </w:rPr>
            </w:pPr>
          </w:p>
        </w:tc>
      </w:tr>
    </w:tbl>
    <w:p w14:paraId="0B14160D">
      <w:pPr>
        <w:keepNext/>
        <w:keepLines/>
        <w:spacing w:line="540" w:lineRule="exact"/>
        <w:ind w:firstLine="480" w:firstLineChars="200"/>
        <w:outlineLvl w:val="2"/>
        <w:rPr>
          <w:rFonts w:ascii="Times New Roman" w:hAnsi="Times New Roman" w:eastAsia="楷体" w:cs="Times New Roman"/>
          <w:sz w:val="24"/>
          <w:szCs w:val="24"/>
        </w:rPr>
      </w:pPr>
      <w:r>
        <w:rPr>
          <w:rFonts w:ascii="Times New Roman" w:hAnsi="Times New Roman" w:eastAsia="楷体" w:cs="Times New Roman"/>
          <w:sz w:val="24"/>
          <w:szCs w:val="24"/>
        </w:rPr>
        <w:t>（五）风险控制</w:t>
      </w:r>
    </w:p>
    <w:p w14:paraId="4AD72DCD">
      <w:pPr>
        <w:spacing w:line="54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注册人、备案人或进口医疗器械境内责任人应当在警戒计划中明确对风险分析、评估和控制过程的记录方式（表格的形式可参考表4）。</w:t>
      </w:r>
    </w:p>
    <w:p w14:paraId="22DC3C54">
      <w:pPr>
        <w:spacing w:line="54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表4 风险识别与风险管理过程记录表</w:t>
      </w:r>
    </w:p>
    <w:tbl>
      <w:tblPr>
        <w:tblStyle w:val="11"/>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962"/>
        <w:gridCol w:w="962"/>
        <w:gridCol w:w="978"/>
        <w:gridCol w:w="771"/>
        <w:gridCol w:w="1155"/>
        <w:gridCol w:w="1651"/>
        <w:gridCol w:w="1651"/>
      </w:tblGrid>
      <w:tr w14:paraId="5CB6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0" w:type="dxa"/>
            <w:vAlign w:val="center"/>
          </w:tcPr>
          <w:p w14:paraId="163FE293">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编号</w:t>
            </w:r>
          </w:p>
        </w:tc>
        <w:tc>
          <w:tcPr>
            <w:tcW w:w="962" w:type="dxa"/>
            <w:vAlign w:val="center"/>
          </w:tcPr>
          <w:p w14:paraId="7C2A49B3">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风险情形描述</w:t>
            </w:r>
          </w:p>
        </w:tc>
        <w:tc>
          <w:tcPr>
            <w:tcW w:w="962" w:type="dxa"/>
            <w:vAlign w:val="center"/>
          </w:tcPr>
          <w:p w14:paraId="5561DAEA">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危险情况</w:t>
            </w:r>
          </w:p>
        </w:tc>
        <w:tc>
          <w:tcPr>
            <w:tcW w:w="978" w:type="dxa"/>
            <w:vAlign w:val="center"/>
          </w:tcPr>
          <w:p w14:paraId="723AC421">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严重程度</w:t>
            </w:r>
          </w:p>
        </w:tc>
        <w:tc>
          <w:tcPr>
            <w:tcW w:w="771" w:type="dxa"/>
            <w:vAlign w:val="center"/>
          </w:tcPr>
          <w:p w14:paraId="7476525C">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发生率</w:t>
            </w:r>
          </w:p>
        </w:tc>
        <w:tc>
          <w:tcPr>
            <w:tcW w:w="1155" w:type="dxa"/>
            <w:vAlign w:val="center"/>
          </w:tcPr>
          <w:p w14:paraId="16409D78">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风险是否</w:t>
            </w:r>
          </w:p>
          <w:p w14:paraId="720D9659">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可接受</w:t>
            </w:r>
          </w:p>
        </w:tc>
        <w:tc>
          <w:tcPr>
            <w:tcW w:w="1651" w:type="dxa"/>
            <w:vAlign w:val="center"/>
          </w:tcPr>
          <w:p w14:paraId="6A62426B">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是/否采取</w:t>
            </w:r>
          </w:p>
          <w:p w14:paraId="32BB8EA6">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控制措施</w:t>
            </w:r>
          </w:p>
        </w:tc>
        <w:tc>
          <w:tcPr>
            <w:tcW w:w="1651" w:type="dxa"/>
            <w:vAlign w:val="center"/>
          </w:tcPr>
          <w:p w14:paraId="425B7B92">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控制措施</w:t>
            </w:r>
          </w:p>
          <w:p w14:paraId="66F618FF">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具体描述</w:t>
            </w:r>
          </w:p>
        </w:tc>
      </w:tr>
      <w:tr w14:paraId="6AFD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10" w:type="dxa"/>
            <w:vAlign w:val="center"/>
          </w:tcPr>
          <w:p w14:paraId="3B905D6A">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962" w:type="dxa"/>
            <w:vAlign w:val="center"/>
          </w:tcPr>
          <w:p w14:paraId="40041B5E">
            <w:pPr>
              <w:jc w:val="center"/>
              <w:rPr>
                <w:rFonts w:ascii="Times New Roman" w:hAnsi="Times New Roman" w:eastAsia="仿宋_GB2312" w:cs="Times New Roman"/>
                <w:kern w:val="0"/>
                <w:sz w:val="24"/>
                <w:szCs w:val="24"/>
              </w:rPr>
            </w:pPr>
          </w:p>
        </w:tc>
        <w:tc>
          <w:tcPr>
            <w:tcW w:w="962" w:type="dxa"/>
            <w:vAlign w:val="center"/>
          </w:tcPr>
          <w:p w14:paraId="244D72D2">
            <w:pPr>
              <w:jc w:val="center"/>
              <w:rPr>
                <w:rFonts w:ascii="Times New Roman" w:hAnsi="Times New Roman" w:eastAsia="仿宋_GB2312" w:cs="Times New Roman"/>
                <w:kern w:val="0"/>
                <w:sz w:val="24"/>
                <w:szCs w:val="24"/>
              </w:rPr>
            </w:pPr>
          </w:p>
        </w:tc>
        <w:tc>
          <w:tcPr>
            <w:tcW w:w="978" w:type="dxa"/>
            <w:vAlign w:val="center"/>
          </w:tcPr>
          <w:p w14:paraId="070F4B20">
            <w:pPr>
              <w:jc w:val="center"/>
              <w:rPr>
                <w:rFonts w:ascii="Times New Roman" w:hAnsi="Times New Roman" w:eastAsia="仿宋_GB2312" w:cs="Times New Roman"/>
                <w:kern w:val="0"/>
                <w:sz w:val="24"/>
                <w:szCs w:val="24"/>
              </w:rPr>
            </w:pPr>
          </w:p>
        </w:tc>
        <w:tc>
          <w:tcPr>
            <w:tcW w:w="771" w:type="dxa"/>
            <w:vAlign w:val="center"/>
          </w:tcPr>
          <w:p w14:paraId="54BC2177">
            <w:pPr>
              <w:jc w:val="center"/>
              <w:rPr>
                <w:rFonts w:ascii="Times New Roman" w:hAnsi="Times New Roman" w:eastAsia="仿宋_GB2312" w:cs="Times New Roman"/>
                <w:kern w:val="0"/>
                <w:sz w:val="24"/>
                <w:szCs w:val="24"/>
              </w:rPr>
            </w:pPr>
          </w:p>
        </w:tc>
        <w:tc>
          <w:tcPr>
            <w:tcW w:w="1155" w:type="dxa"/>
            <w:vAlign w:val="center"/>
          </w:tcPr>
          <w:p w14:paraId="691CF03F">
            <w:pPr>
              <w:jc w:val="center"/>
              <w:rPr>
                <w:rFonts w:ascii="Times New Roman" w:hAnsi="Times New Roman" w:eastAsia="仿宋_GB2312" w:cs="Times New Roman"/>
                <w:kern w:val="0"/>
                <w:sz w:val="24"/>
                <w:szCs w:val="24"/>
              </w:rPr>
            </w:pPr>
          </w:p>
        </w:tc>
        <w:tc>
          <w:tcPr>
            <w:tcW w:w="1651" w:type="dxa"/>
            <w:vAlign w:val="center"/>
          </w:tcPr>
          <w:p w14:paraId="563BE6F5">
            <w:pPr>
              <w:jc w:val="center"/>
              <w:rPr>
                <w:rFonts w:ascii="Times New Roman" w:hAnsi="Times New Roman" w:eastAsia="仿宋_GB2312" w:cs="Times New Roman"/>
                <w:kern w:val="0"/>
                <w:sz w:val="24"/>
                <w:szCs w:val="24"/>
              </w:rPr>
            </w:pPr>
          </w:p>
        </w:tc>
        <w:tc>
          <w:tcPr>
            <w:tcW w:w="1651" w:type="dxa"/>
            <w:vAlign w:val="center"/>
          </w:tcPr>
          <w:p w14:paraId="5C080595">
            <w:pPr>
              <w:jc w:val="center"/>
              <w:rPr>
                <w:rFonts w:ascii="Times New Roman" w:hAnsi="Times New Roman" w:eastAsia="仿宋_GB2312" w:cs="Times New Roman"/>
                <w:kern w:val="0"/>
                <w:sz w:val="24"/>
                <w:szCs w:val="24"/>
              </w:rPr>
            </w:pPr>
          </w:p>
        </w:tc>
      </w:tr>
      <w:tr w14:paraId="4A56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10" w:type="dxa"/>
            <w:vAlign w:val="center"/>
          </w:tcPr>
          <w:p w14:paraId="232825F7">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962" w:type="dxa"/>
            <w:vAlign w:val="center"/>
          </w:tcPr>
          <w:p w14:paraId="063F9AAF">
            <w:pPr>
              <w:jc w:val="center"/>
              <w:rPr>
                <w:rFonts w:ascii="Times New Roman" w:hAnsi="Times New Roman" w:eastAsia="仿宋_GB2312" w:cs="Times New Roman"/>
                <w:kern w:val="0"/>
                <w:sz w:val="24"/>
                <w:szCs w:val="24"/>
              </w:rPr>
            </w:pPr>
          </w:p>
        </w:tc>
        <w:tc>
          <w:tcPr>
            <w:tcW w:w="962" w:type="dxa"/>
            <w:vAlign w:val="center"/>
          </w:tcPr>
          <w:p w14:paraId="06B0D94C">
            <w:pPr>
              <w:jc w:val="center"/>
              <w:rPr>
                <w:rFonts w:ascii="Times New Roman" w:hAnsi="Times New Roman" w:eastAsia="仿宋_GB2312" w:cs="Times New Roman"/>
                <w:kern w:val="0"/>
                <w:sz w:val="24"/>
                <w:szCs w:val="24"/>
              </w:rPr>
            </w:pPr>
          </w:p>
        </w:tc>
        <w:tc>
          <w:tcPr>
            <w:tcW w:w="978" w:type="dxa"/>
            <w:vAlign w:val="center"/>
          </w:tcPr>
          <w:p w14:paraId="5A2BF0DF">
            <w:pPr>
              <w:jc w:val="center"/>
              <w:rPr>
                <w:rFonts w:ascii="Times New Roman" w:hAnsi="Times New Roman" w:eastAsia="仿宋_GB2312" w:cs="Times New Roman"/>
                <w:kern w:val="0"/>
                <w:sz w:val="24"/>
                <w:szCs w:val="24"/>
              </w:rPr>
            </w:pPr>
          </w:p>
        </w:tc>
        <w:tc>
          <w:tcPr>
            <w:tcW w:w="771" w:type="dxa"/>
            <w:vAlign w:val="center"/>
          </w:tcPr>
          <w:p w14:paraId="1847E771">
            <w:pPr>
              <w:jc w:val="center"/>
              <w:rPr>
                <w:rFonts w:ascii="Times New Roman" w:hAnsi="Times New Roman" w:eastAsia="仿宋_GB2312" w:cs="Times New Roman"/>
                <w:kern w:val="0"/>
                <w:sz w:val="24"/>
                <w:szCs w:val="24"/>
              </w:rPr>
            </w:pPr>
          </w:p>
        </w:tc>
        <w:tc>
          <w:tcPr>
            <w:tcW w:w="1155" w:type="dxa"/>
            <w:vAlign w:val="center"/>
          </w:tcPr>
          <w:p w14:paraId="3184FD62">
            <w:pPr>
              <w:jc w:val="center"/>
              <w:rPr>
                <w:rFonts w:ascii="Times New Roman" w:hAnsi="Times New Roman" w:eastAsia="仿宋_GB2312" w:cs="Times New Roman"/>
                <w:kern w:val="0"/>
                <w:sz w:val="24"/>
                <w:szCs w:val="24"/>
              </w:rPr>
            </w:pPr>
          </w:p>
        </w:tc>
        <w:tc>
          <w:tcPr>
            <w:tcW w:w="1651" w:type="dxa"/>
            <w:vAlign w:val="center"/>
          </w:tcPr>
          <w:p w14:paraId="3A7EAD7E">
            <w:pPr>
              <w:jc w:val="center"/>
              <w:rPr>
                <w:rFonts w:ascii="Times New Roman" w:hAnsi="Times New Roman" w:eastAsia="仿宋_GB2312" w:cs="Times New Roman"/>
                <w:kern w:val="0"/>
                <w:sz w:val="24"/>
                <w:szCs w:val="24"/>
              </w:rPr>
            </w:pPr>
          </w:p>
        </w:tc>
        <w:tc>
          <w:tcPr>
            <w:tcW w:w="1651" w:type="dxa"/>
            <w:vAlign w:val="center"/>
          </w:tcPr>
          <w:p w14:paraId="3DA836BC">
            <w:pPr>
              <w:jc w:val="center"/>
              <w:rPr>
                <w:rFonts w:ascii="Times New Roman" w:hAnsi="Times New Roman" w:eastAsia="仿宋_GB2312" w:cs="Times New Roman"/>
                <w:kern w:val="0"/>
                <w:sz w:val="24"/>
                <w:szCs w:val="24"/>
              </w:rPr>
            </w:pPr>
          </w:p>
        </w:tc>
      </w:tr>
      <w:tr w14:paraId="47F2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10" w:type="dxa"/>
            <w:vAlign w:val="center"/>
          </w:tcPr>
          <w:p w14:paraId="228218A2">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962" w:type="dxa"/>
            <w:vAlign w:val="center"/>
          </w:tcPr>
          <w:p w14:paraId="3F8D7BDC">
            <w:pPr>
              <w:jc w:val="center"/>
              <w:rPr>
                <w:rFonts w:ascii="Times New Roman" w:hAnsi="Times New Roman" w:eastAsia="仿宋_GB2312" w:cs="Times New Roman"/>
                <w:kern w:val="0"/>
                <w:sz w:val="24"/>
                <w:szCs w:val="24"/>
              </w:rPr>
            </w:pPr>
          </w:p>
        </w:tc>
        <w:tc>
          <w:tcPr>
            <w:tcW w:w="962" w:type="dxa"/>
            <w:vAlign w:val="center"/>
          </w:tcPr>
          <w:p w14:paraId="7DAE1A79">
            <w:pPr>
              <w:jc w:val="center"/>
              <w:rPr>
                <w:rFonts w:ascii="Times New Roman" w:hAnsi="Times New Roman" w:eastAsia="仿宋_GB2312" w:cs="Times New Roman"/>
                <w:kern w:val="0"/>
                <w:sz w:val="24"/>
                <w:szCs w:val="24"/>
              </w:rPr>
            </w:pPr>
          </w:p>
        </w:tc>
        <w:tc>
          <w:tcPr>
            <w:tcW w:w="978" w:type="dxa"/>
            <w:vAlign w:val="center"/>
          </w:tcPr>
          <w:p w14:paraId="174922F3">
            <w:pPr>
              <w:jc w:val="center"/>
              <w:rPr>
                <w:rFonts w:ascii="Times New Roman" w:hAnsi="Times New Roman" w:eastAsia="仿宋_GB2312" w:cs="Times New Roman"/>
                <w:kern w:val="0"/>
                <w:sz w:val="24"/>
                <w:szCs w:val="24"/>
              </w:rPr>
            </w:pPr>
          </w:p>
        </w:tc>
        <w:tc>
          <w:tcPr>
            <w:tcW w:w="771" w:type="dxa"/>
            <w:vAlign w:val="center"/>
          </w:tcPr>
          <w:p w14:paraId="79C7A665">
            <w:pPr>
              <w:jc w:val="center"/>
              <w:rPr>
                <w:rFonts w:ascii="Times New Roman" w:hAnsi="Times New Roman" w:eastAsia="仿宋_GB2312" w:cs="Times New Roman"/>
                <w:kern w:val="0"/>
                <w:sz w:val="24"/>
                <w:szCs w:val="24"/>
              </w:rPr>
            </w:pPr>
          </w:p>
        </w:tc>
        <w:tc>
          <w:tcPr>
            <w:tcW w:w="1155" w:type="dxa"/>
            <w:vAlign w:val="center"/>
          </w:tcPr>
          <w:p w14:paraId="387BBC83">
            <w:pPr>
              <w:jc w:val="center"/>
              <w:rPr>
                <w:rFonts w:ascii="Times New Roman" w:hAnsi="Times New Roman" w:eastAsia="仿宋_GB2312" w:cs="Times New Roman"/>
                <w:kern w:val="0"/>
                <w:sz w:val="24"/>
                <w:szCs w:val="24"/>
              </w:rPr>
            </w:pPr>
          </w:p>
        </w:tc>
        <w:tc>
          <w:tcPr>
            <w:tcW w:w="1651" w:type="dxa"/>
            <w:vAlign w:val="center"/>
          </w:tcPr>
          <w:p w14:paraId="549B81DE">
            <w:pPr>
              <w:jc w:val="center"/>
              <w:rPr>
                <w:rFonts w:ascii="Times New Roman" w:hAnsi="Times New Roman" w:eastAsia="仿宋_GB2312" w:cs="Times New Roman"/>
                <w:kern w:val="0"/>
                <w:sz w:val="24"/>
                <w:szCs w:val="24"/>
              </w:rPr>
            </w:pPr>
          </w:p>
        </w:tc>
        <w:tc>
          <w:tcPr>
            <w:tcW w:w="1651" w:type="dxa"/>
            <w:vAlign w:val="center"/>
          </w:tcPr>
          <w:p w14:paraId="5C0BACE4">
            <w:pPr>
              <w:jc w:val="center"/>
              <w:rPr>
                <w:rFonts w:ascii="Times New Roman" w:hAnsi="Times New Roman" w:eastAsia="仿宋_GB2312" w:cs="Times New Roman"/>
                <w:kern w:val="0"/>
                <w:sz w:val="24"/>
                <w:szCs w:val="24"/>
              </w:rPr>
            </w:pPr>
          </w:p>
        </w:tc>
      </w:tr>
    </w:tbl>
    <w:p w14:paraId="08A41ED7">
      <w:pPr>
        <w:keepNext/>
        <w:keepLines/>
        <w:spacing w:line="540" w:lineRule="exact"/>
        <w:ind w:firstLine="480" w:firstLineChars="200"/>
        <w:outlineLvl w:val="2"/>
        <w:rPr>
          <w:rFonts w:ascii="Times New Roman" w:hAnsi="Times New Roman" w:eastAsia="楷体" w:cs="Times New Roman"/>
          <w:sz w:val="24"/>
          <w:szCs w:val="24"/>
        </w:rPr>
      </w:pPr>
      <w:r>
        <w:rPr>
          <w:rFonts w:ascii="Times New Roman" w:hAnsi="Times New Roman" w:eastAsia="楷体" w:cs="Times New Roman"/>
          <w:sz w:val="24"/>
          <w:szCs w:val="24"/>
        </w:rPr>
        <w:t>（六）警戒报告</w:t>
      </w:r>
    </w:p>
    <w:p w14:paraId="34DDC9AE">
      <w:pPr>
        <w:spacing w:line="54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注册人、备案人或进口医疗器械境内责任人需要在警戒计划中明确需要撰写警戒报告的情形和报告内容，警戒报告主要包括发现产品风险趋势出现异常变化时撰写的趋势报告，开展医疗器械安全性持续研究形成的定期安全更新报告等。</w:t>
      </w:r>
      <w:bookmarkStart w:id="8" w:name="_bookmark46"/>
      <w:bookmarkEnd w:id="8"/>
      <w:bookmarkStart w:id="9" w:name="_bookmark49"/>
      <w:bookmarkEnd w:id="9"/>
      <w:bookmarkStart w:id="10" w:name="5.1.5.1_reportable_USE_ERRORs"/>
      <w:bookmarkEnd w:id="10"/>
      <w:bookmarkStart w:id="11" w:name="5.1.6_DETAILS_TO_BE_INCLUDED_IN_MANUFACT"/>
      <w:bookmarkEnd w:id="11"/>
    </w:p>
    <w:p w14:paraId="2565BC13">
      <w:pPr>
        <w:keepNext/>
        <w:keepLines/>
        <w:spacing w:line="540" w:lineRule="exact"/>
        <w:ind w:firstLine="480" w:firstLineChars="200"/>
        <w:outlineLvl w:val="2"/>
        <w:rPr>
          <w:rFonts w:ascii="Times New Roman" w:hAnsi="Times New Roman" w:eastAsia="楷体" w:cs="Times New Roman"/>
          <w:sz w:val="24"/>
          <w:szCs w:val="24"/>
        </w:rPr>
      </w:pPr>
      <w:r>
        <w:rPr>
          <w:rFonts w:ascii="Times New Roman" w:hAnsi="Times New Roman" w:eastAsia="楷体" w:cs="Times New Roman"/>
          <w:sz w:val="24"/>
          <w:szCs w:val="24"/>
        </w:rPr>
        <w:t>（七）计划的评审</w:t>
      </w:r>
    </w:p>
    <w:p w14:paraId="0083AF7E">
      <w:pPr>
        <w:spacing w:line="54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警戒计划应当规定特定部门或人员，定期对警戒计划开展评审，确定计划被执行和风险监测的有效性。必要时可以根据评审结果，对警戒计划进行更新或修正。</w:t>
      </w:r>
    </w:p>
    <w:p w14:paraId="3E9BE378">
      <w:pPr>
        <w:spacing w:line="540" w:lineRule="exact"/>
        <w:rPr>
          <w:rFonts w:ascii="仿宋" w:hAnsi="仿宋" w:eastAsia="仿宋" w:cs="Times New Roman"/>
          <w:sz w:val="24"/>
          <w:szCs w:val="24"/>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1EE5A">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1653097456"/>
                          </w:sdtPr>
                          <w:sdtEndPr>
                            <w:rPr>
                              <w:rFonts w:hint="eastAsia" w:ascii="宋体" w:hAnsi="宋体" w:eastAsia="宋体" w:cs="宋体"/>
                              <w:sz w:val="28"/>
                              <w:szCs w:val="28"/>
                            </w:rPr>
                          </w:sdtEndPr>
                          <w:sdtContent>
                            <w:p w14:paraId="073A77D1">
                              <w:pPr>
                                <w:pStyle w:val="7"/>
                                <w:jc w:val="center"/>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PAGE   \* MERGEFORMAT</w:instrText>
                              </w:r>
                              <w:r>
                                <w:rPr>
                                  <w:rFonts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5 -</w:t>
                              </w:r>
                              <w:r>
                                <w:rPr>
                                  <w:rFonts w:ascii="宋体" w:hAnsi="宋体" w:eastAsia="宋体" w:cs="宋体"/>
                                  <w:sz w:val="28"/>
                                  <w:szCs w:val="28"/>
                                </w:rPr>
                                <w:fldChar w:fldCharType="end"/>
                              </w:r>
                            </w:p>
                          </w:sdtContent>
                        </w:sdt>
                        <w:p w14:paraId="12116F8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1653097456"/>
                    </w:sdtPr>
                    <w:sdtEndPr>
                      <w:rPr>
                        <w:rFonts w:hint="eastAsia" w:ascii="宋体" w:hAnsi="宋体" w:eastAsia="宋体" w:cs="宋体"/>
                        <w:sz w:val="28"/>
                        <w:szCs w:val="28"/>
                      </w:rPr>
                    </w:sdtEndPr>
                    <w:sdtContent>
                      <w:p w14:paraId="073A77D1">
                        <w:pPr>
                          <w:pStyle w:val="7"/>
                          <w:jc w:val="center"/>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PAGE   \* MERGEFORMAT</w:instrText>
                        </w:r>
                        <w:r>
                          <w:rPr>
                            <w:rFonts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5 -</w:t>
                        </w:r>
                        <w:r>
                          <w:rPr>
                            <w:rFonts w:ascii="宋体" w:hAnsi="宋体" w:eastAsia="宋体" w:cs="宋体"/>
                            <w:sz w:val="28"/>
                            <w:szCs w:val="28"/>
                          </w:rPr>
                          <w:fldChar w:fldCharType="end"/>
                        </w:r>
                      </w:p>
                    </w:sdtContent>
                  </w:sdt>
                  <w:p w14:paraId="12116F8E"/>
                </w:txbxContent>
              </v:textbox>
            </v:shape>
          </w:pict>
        </mc:Fallback>
      </mc:AlternateContent>
    </w:r>
  </w:p>
  <w:p w14:paraId="62F4AFEA">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DFF"/>
    <w:rsid w:val="00031AF0"/>
    <w:rsid w:val="00037A62"/>
    <w:rsid w:val="0005344F"/>
    <w:rsid w:val="00066B08"/>
    <w:rsid w:val="00083C9B"/>
    <w:rsid w:val="000C584B"/>
    <w:rsid w:val="000D0C60"/>
    <w:rsid w:val="000E1239"/>
    <w:rsid w:val="000E55BF"/>
    <w:rsid w:val="00102EAE"/>
    <w:rsid w:val="00103773"/>
    <w:rsid w:val="00105171"/>
    <w:rsid w:val="00105FFD"/>
    <w:rsid w:val="0011526C"/>
    <w:rsid w:val="0016424D"/>
    <w:rsid w:val="00176DFB"/>
    <w:rsid w:val="001C7F74"/>
    <w:rsid w:val="001F5BF4"/>
    <w:rsid w:val="001F63FF"/>
    <w:rsid w:val="0021474E"/>
    <w:rsid w:val="00222CB3"/>
    <w:rsid w:val="002513D3"/>
    <w:rsid w:val="00262E43"/>
    <w:rsid w:val="002C719F"/>
    <w:rsid w:val="002D6FFE"/>
    <w:rsid w:val="003010BF"/>
    <w:rsid w:val="003A220E"/>
    <w:rsid w:val="003A53BC"/>
    <w:rsid w:val="003B0E23"/>
    <w:rsid w:val="003C3E11"/>
    <w:rsid w:val="003C7DBF"/>
    <w:rsid w:val="003E5DB4"/>
    <w:rsid w:val="00422AD3"/>
    <w:rsid w:val="00425514"/>
    <w:rsid w:val="00426750"/>
    <w:rsid w:val="00432DFF"/>
    <w:rsid w:val="0043633C"/>
    <w:rsid w:val="00445EB1"/>
    <w:rsid w:val="004601D8"/>
    <w:rsid w:val="00485CBF"/>
    <w:rsid w:val="004A0C00"/>
    <w:rsid w:val="004B038E"/>
    <w:rsid w:val="004C42CA"/>
    <w:rsid w:val="00504706"/>
    <w:rsid w:val="005714F4"/>
    <w:rsid w:val="005A07F9"/>
    <w:rsid w:val="005B0815"/>
    <w:rsid w:val="005D61B5"/>
    <w:rsid w:val="0060387F"/>
    <w:rsid w:val="0061348B"/>
    <w:rsid w:val="006671EF"/>
    <w:rsid w:val="00672EC1"/>
    <w:rsid w:val="0069514D"/>
    <w:rsid w:val="006B1BC6"/>
    <w:rsid w:val="006C1B66"/>
    <w:rsid w:val="00741F15"/>
    <w:rsid w:val="00745037"/>
    <w:rsid w:val="007469A6"/>
    <w:rsid w:val="0075545B"/>
    <w:rsid w:val="007D63B9"/>
    <w:rsid w:val="008063AC"/>
    <w:rsid w:val="00816582"/>
    <w:rsid w:val="008601E1"/>
    <w:rsid w:val="00861CB4"/>
    <w:rsid w:val="00863941"/>
    <w:rsid w:val="00884A53"/>
    <w:rsid w:val="008B00C7"/>
    <w:rsid w:val="008B15D4"/>
    <w:rsid w:val="008C383D"/>
    <w:rsid w:val="008C62D9"/>
    <w:rsid w:val="009366EF"/>
    <w:rsid w:val="009416C3"/>
    <w:rsid w:val="00943854"/>
    <w:rsid w:val="0095029F"/>
    <w:rsid w:val="00960FA1"/>
    <w:rsid w:val="00971ECC"/>
    <w:rsid w:val="009819F9"/>
    <w:rsid w:val="009954F6"/>
    <w:rsid w:val="009E27DC"/>
    <w:rsid w:val="00A02F59"/>
    <w:rsid w:val="00A617DF"/>
    <w:rsid w:val="00A811E6"/>
    <w:rsid w:val="00AA7B15"/>
    <w:rsid w:val="00AE21AE"/>
    <w:rsid w:val="00AE3632"/>
    <w:rsid w:val="00AE64BC"/>
    <w:rsid w:val="00AF3827"/>
    <w:rsid w:val="00B071AF"/>
    <w:rsid w:val="00B17915"/>
    <w:rsid w:val="00B20DCF"/>
    <w:rsid w:val="00B26152"/>
    <w:rsid w:val="00B402C2"/>
    <w:rsid w:val="00B43FCB"/>
    <w:rsid w:val="00B54B8F"/>
    <w:rsid w:val="00B643C0"/>
    <w:rsid w:val="00B834FD"/>
    <w:rsid w:val="00B92A91"/>
    <w:rsid w:val="00BA7B4A"/>
    <w:rsid w:val="00BD5A93"/>
    <w:rsid w:val="00C00041"/>
    <w:rsid w:val="00C53269"/>
    <w:rsid w:val="00C742B1"/>
    <w:rsid w:val="00C97FD3"/>
    <w:rsid w:val="00CA33E1"/>
    <w:rsid w:val="00CD46F8"/>
    <w:rsid w:val="00CF5A32"/>
    <w:rsid w:val="00CF7C3A"/>
    <w:rsid w:val="00D0572A"/>
    <w:rsid w:val="00D2792D"/>
    <w:rsid w:val="00D347BB"/>
    <w:rsid w:val="00D55E01"/>
    <w:rsid w:val="00D84859"/>
    <w:rsid w:val="00D86C76"/>
    <w:rsid w:val="00D93272"/>
    <w:rsid w:val="00D94CC1"/>
    <w:rsid w:val="00DA1154"/>
    <w:rsid w:val="00DF6615"/>
    <w:rsid w:val="00E03E99"/>
    <w:rsid w:val="00E06AD0"/>
    <w:rsid w:val="00E10711"/>
    <w:rsid w:val="00E220C7"/>
    <w:rsid w:val="00E73B0B"/>
    <w:rsid w:val="00E75FDA"/>
    <w:rsid w:val="00EB0765"/>
    <w:rsid w:val="00F125C7"/>
    <w:rsid w:val="00F206B9"/>
    <w:rsid w:val="00F352A6"/>
    <w:rsid w:val="00F428FB"/>
    <w:rsid w:val="00F5404E"/>
    <w:rsid w:val="00F81ADE"/>
    <w:rsid w:val="00FB11EB"/>
    <w:rsid w:val="00FC40DD"/>
    <w:rsid w:val="00FC51E0"/>
    <w:rsid w:val="00FD748A"/>
    <w:rsid w:val="0A2F04DB"/>
    <w:rsid w:val="10B1077E"/>
    <w:rsid w:val="31B43F10"/>
    <w:rsid w:val="33D935B8"/>
    <w:rsid w:val="343A2C62"/>
    <w:rsid w:val="36A32CB7"/>
    <w:rsid w:val="3E4117F1"/>
    <w:rsid w:val="56B27964"/>
    <w:rsid w:val="61A8446F"/>
    <w:rsid w:val="6E2A10DF"/>
    <w:rsid w:val="73125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rFonts w:ascii="Calibri" w:hAnsi="Calibri" w:eastAsia="微软雅黑" w:cs="微软雅黑"/>
      <w:sz w:val="44"/>
      <w:szCs w:val="44"/>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Calibri" w:hAnsi="Calibri" w:eastAsia="黑体" w:cs="黑体"/>
      <w:szCs w:val="24"/>
    </w:rPr>
  </w:style>
  <w:style w:type="paragraph" w:styleId="4">
    <w:name w:val="heading 3"/>
    <w:basedOn w:val="1"/>
    <w:next w:val="1"/>
    <w:link w:val="31"/>
    <w:semiHidden/>
    <w:unhideWhenUsed/>
    <w:qFormat/>
    <w:uiPriority w:val="9"/>
    <w:pPr>
      <w:keepNext/>
      <w:keepLines/>
      <w:spacing w:before="260" w:after="260" w:line="416" w:lineRule="auto"/>
      <w:outlineLvl w:val="2"/>
    </w:pPr>
    <w:rPr>
      <w:rFonts w:ascii="Calibri" w:hAnsi="Calibri" w:eastAsia="楷体" w:cs="楷体"/>
      <w:b/>
      <w:bCs/>
      <w:szCs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2"/>
    <w:semiHidden/>
    <w:unhideWhenUsed/>
    <w:qFormat/>
    <w:uiPriority w:val="99"/>
    <w:pPr>
      <w:jc w:val="left"/>
    </w:pPr>
  </w:style>
  <w:style w:type="paragraph" w:styleId="6">
    <w:name w:val="Balloon Text"/>
    <w:basedOn w:val="1"/>
    <w:link w:val="33"/>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34"/>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annotation reference"/>
    <w:basedOn w:val="12"/>
    <w:qFormat/>
    <w:uiPriority w:val="99"/>
    <w:rPr>
      <w:sz w:val="21"/>
      <w:szCs w:val="21"/>
    </w:rPr>
  </w:style>
  <w:style w:type="character" w:customStyle="1" w:styleId="15">
    <w:name w:val="页眉 Char"/>
    <w:basedOn w:val="12"/>
    <w:link w:val="8"/>
    <w:qFormat/>
    <w:uiPriority w:val="0"/>
    <w:rPr>
      <w:sz w:val="18"/>
      <w:szCs w:val="18"/>
    </w:rPr>
  </w:style>
  <w:style w:type="character" w:customStyle="1" w:styleId="16">
    <w:name w:val="页脚 Char"/>
    <w:basedOn w:val="12"/>
    <w:link w:val="7"/>
    <w:qFormat/>
    <w:uiPriority w:val="99"/>
    <w:rPr>
      <w:sz w:val="18"/>
      <w:szCs w:val="18"/>
    </w:rPr>
  </w:style>
  <w:style w:type="paragraph" w:customStyle="1" w:styleId="17">
    <w:name w:val="标题 11"/>
    <w:basedOn w:val="1"/>
    <w:next w:val="1"/>
    <w:qFormat/>
    <w:uiPriority w:val="9"/>
    <w:pPr>
      <w:keepNext/>
      <w:keepLines/>
      <w:jc w:val="center"/>
      <w:outlineLvl w:val="0"/>
    </w:pPr>
    <w:rPr>
      <w:rFonts w:eastAsia="微软雅黑" w:cs="微软雅黑"/>
      <w:sz w:val="44"/>
      <w:szCs w:val="44"/>
    </w:rPr>
  </w:style>
  <w:style w:type="paragraph" w:customStyle="1" w:styleId="18">
    <w:name w:val="标题 21"/>
    <w:basedOn w:val="1"/>
    <w:next w:val="1"/>
    <w:qFormat/>
    <w:uiPriority w:val="9"/>
    <w:pPr>
      <w:keepNext/>
      <w:keepLines/>
      <w:outlineLvl w:val="1"/>
    </w:pPr>
    <w:rPr>
      <w:rFonts w:eastAsia="黑体" w:cs="黑体"/>
      <w:szCs w:val="24"/>
    </w:rPr>
  </w:style>
  <w:style w:type="paragraph" w:customStyle="1" w:styleId="19">
    <w:name w:val="标题 31"/>
    <w:basedOn w:val="1"/>
    <w:next w:val="1"/>
    <w:unhideWhenUsed/>
    <w:qFormat/>
    <w:uiPriority w:val="9"/>
    <w:pPr>
      <w:keepNext/>
      <w:keepLines/>
      <w:outlineLvl w:val="2"/>
    </w:pPr>
    <w:rPr>
      <w:rFonts w:eastAsia="楷体" w:cs="楷体"/>
      <w:b/>
      <w:bCs/>
      <w:szCs w:val="24"/>
    </w:rPr>
  </w:style>
  <w:style w:type="character" w:customStyle="1" w:styleId="20">
    <w:name w:val="标题 1 Char"/>
    <w:basedOn w:val="12"/>
    <w:qFormat/>
    <w:uiPriority w:val="9"/>
    <w:rPr>
      <w:rFonts w:ascii="Calibri" w:hAnsi="Calibri" w:eastAsia="微软雅黑" w:cs="微软雅黑"/>
      <w:kern w:val="2"/>
      <w:sz w:val="44"/>
      <w:szCs w:val="44"/>
    </w:rPr>
  </w:style>
  <w:style w:type="character" w:customStyle="1" w:styleId="21">
    <w:name w:val="标题 2 Char"/>
    <w:basedOn w:val="12"/>
    <w:qFormat/>
    <w:uiPriority w:val="9"/>
    <w:rPr>
      <w:rFonts w:ascii="Calibri" w:hAnsi="Calibri" w:eastAsia="黑体" w:cs="黑体"/>
      <w:kern w:val="2"/>
      <w:sz w:val="21"/>
      <w:szCs w:val="24"/>
    </w:rPr>
  </w:style>
  <w:style w:type="character" w:customStyle="1" w:styleId="22">
    <w:name w:val="标题 3 Char"/>
    <w:basedOn w:val="12"/>
    <w:qFormat/>
    <w:uiPriority w:val="9"/>
    <w:rPr>
      <w:rFonts w:ascii="Calibri" w:hAnsi="Calibri" w:eastAsia="楷体" w:cs="楷体"/>
      <w:b/>
      <w:bCs/>
      <w:kern w:val="2"/>
      <w:sz w:val="21"/>
      <w:szCs w:val="24"/>
    </w:rPr>
  </w:style>
  <w:style w:type="paragraph" w:customStyle="1" w:styleId="23">
    <w:name w:val="批注文字1"/>
    <w:basedOn w:val="1"/>
    <w:next w:val="5"/>
    <w:link w:val="24"/>
    <w:qFormat/>
    <w:uiPriority w:val="0"/>
    <w:pPr>
      <w:jc w:val="left"/>
    </w:pPr>
    <w:rPr>
      <w:rFonts w:ascii="Calibri" w:hAnsi="Calibri" w:eastAsia="宋体" w:cs="Times New Roman"/>
      <w:szCs w:val="24"/>
    </w:rPr>
  </w:style>
  <w:style w:type="character" w:customStyle="1" w:styleId="24">
    <w:name w:val="批注文字 Char"/>
    <w:basedOn w:val="12"/>
    <w:link w:val="23"/>
    <w:qFormat/>
    <w:uiPriority w:val="0"/>
    <w:rPr>
      <w:rFonts w:ascii="Calibri" w:hAnsi="Calibri" w:eastAsia="宋体" w:cs="Times New Roman"/>
      <w:kern w:val="2"/>
      <w:sz w:val="21"/>
      <w:szCs w:val="24"/>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Body text|1"/>
    <w:basedOn w:val="1"/>
    <w:qFormat/>
    <w:uiPriority w:val="0"/>
    <w:pPr>
      <w:spacing w:after="130" w:line="377" w:lineRule="auto"/>
      <w:ind w:firstLine="400"/>
    </w:pPr>
    <w:rPr>
      <w:rFonts w:ascii="宋体" w:hAnsi="宋体" w:eastAsia="宋体" w:cs="宋体"/>
      <w:sz w:val="30"/>
      <w:szCs w:val="30"/>
      <w:lang w:val="zh-TW" w:eastAsia="zh-TW" w:bidi="zh-TW"/>
    </w:rPr>
  </w:style>
  <w:style w:type="paragraph" w:customStyle="1" w:styleId="27">
    <w:name w:val="批注框文本1"/>
    <w:basedOn w:val="1"/>
    <w:next w:val="6"/>
    <w:link w:val="28"/>
    <w:qFormat/>
    <w:uiPriority w:val="0"/>
    <w:rPr>
      <w:rFonts w:ascii="Calibri" w:hAnsi="Calibri" w:eastAsia="宋体" w:cs="Times New Roman"/>
      <w:sz w:val="18"/>
      <w:szCs w:val="18"/>
    </w:rPr>
  </w:style>
  <w:style w:type="character" w:customStyle="1" w:styleId="28">
    <w:name w:val="批注框文本 Char"/>
    <w:basedOn w:val="12"/>
    <w:link w:val="27"/>
    <w:qFormat/>
    <w:uiPriority w:val="0"/>
    <w:rPr>
      <w:rFonts w:ascii="Calibri" w:hAnsi="Calibri" w:eastAsia="宋体" w:cs="Times New Roman"/>
      <w:kern w:val="2"/>
      <w:sz w:val="18"/>
      <w:szCs w:val="18"/>
    </w:rPr>
  </w:style>
  <w:style w:type="character" w:customStyle="1" w:styleId="29">
    <w:name w:val="标题 1 Char1"/>
    <w:basedOn w:val="12"/>
    <w:link w:val="2"/>
    <w:qFormat/>
    <w:uiPriority w:val="9"/>
    <w:rPr>
      <w:b/>
      <w:bCs/>
      <w:kern w:val="44"/>
      <w:sz w:val="44"/>
      <w:szCs w:val="44"/>
    </w:rPr>
  </w:style>
  <w:style w:type="character" w:customStyle="1" w:styleId="30">
    <w:name w:val="标题 2 Char1"/>
    <w:basedOn w:val="12"/>
    <w:link w:val="3"/>
    <w:semiHidden/>
    <w:qFormat/>
    <w:uiPriority w:val="9"/>
    <w:rPr>
      <w:rFonts w:asciiTheme="majorHAnsi" w:hAnsiTheme="majorHAnsi" w:eastAsiaTheme="majorEastAsia" w:cstheme="majorBidi"/>
      <w:b/>
      <w:bCs/>
      <w:sz w:val="32"/>
      <w:szCs w:val="32"/>
    </w:rPr>
  </w:style>
  <w:style w:type="character" w:customStyle="1" w:styleId="31">
    <w:name w:val="标题 3 Char1"/>
    <w:basedOn w:val="12"/>
    <w:link w:val="4"/>
    <w:semiHidden/>
    <w:qFormat/>
    <w:uiPriority w:val="9"/>
    <w:rPr>
      <w:b/>
      <w:bCs/>
      <w:sz w:val="32"/>
      <w:szCs w:val="32"/>
    </w:rPr>
  </w:style>
  <w:style w:type="character" w:customStyle="1" w:styleId="32">
    <w:name w:val="批注文字 Char1"/>
    <w:basedOn w:val="12"/>
    <w:link w:val="5"/>
    <w:semiHidden/>
    <w:qFormat/>
    <w:uiPriority w:val="99"/>
  </w:style>
  <w:style w:type="character" w:customStyle="1" w:styleId="33">
    <w:name w:val="批注框文本 Char1"/>
    <w:basedOn w:val="12"/>
    <w:link w:val="6"/>
    <w:semiHidden/>
    <w:qFormat/>
    <w:uiPriority w:val="99"/>
    <w:rPr>
      <w:sz w:val="18"/>
      <w:szCs w:val="18"/>
    </w:rPr>
  </w:style>
  <w:style w:type="character" w:customStyle="1" w:styleId="34">
    <w:name w:val="批注主题 Char"/>
    <w:basedOn w:val="32"/>
    <w:link w:val="9"/>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63D6EC-09E5-4D46-971B-062B75D6E069}">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2076</Words>
  <Characters>2092</Characters>
  <Lines>16</Lines>
  <Paragraphs>4</Paragraphs>
  <TotalTime>2</TotalTime>
  <ScaleCrop>false</ScaleCrop>
  <LinksUpToDate>false</LinksUpToDate>
  <CharactersWithSpaces>2099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2025-02-18T02:34:00Z</dcterms:created>
  <dc:creator>宋雅娜</dc:creator>
  <cp:lastModifiedBy>石头</cp:lastModifiedBy>
  <dcterms:modified xsi:type="dcterms:W3CDTF">2026-04-21T01:28:39Z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49C2EA99F23C4FBC9094E21A7E2AC3BA</vt:lpwstr>
  </property>
  <property fmtid="{D5CDD505-2E9C-101B-9397-08002B2CF9AE}" pid="4" name="KSOTemplateDocerSaveRecord">
    <vt:lpwstr>eyJoZGlkIjoiYmIyOWY3OWIyZDRjY2VlNzJiZWRjNTQ2OTJkMTEwZmYiLCJ1c2VySWQiOiI3MDczMDcxNTQifQ==</vt:lpwstr>
  </property>
</Properties>
</file>